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CA6" w:rsidRPr="003161C5" w:rsidRDefault="00E04CA6" w:rsidP="00701C85">
      <w:pPr>
        <w:widowControl w:val="0"/>
        <w:overflowPunct w:val="0"/>
        <w:autoSpaceDE w:val="0"/>
        <w:autoSpaceDN w:val="0"/>
        <w:adjustRightInd w:val="0"/>
        <w:spacing w:before="100" w:after="0" w:line="240" w:lineRule="auto"/>
        <w:textAlignment w:val="baseline"/>
        <w:outlineLvl w:val="4"/>
        <w:rPr>
          <w:rFonts w:ascii="Times New Roman" w:eastAsia="Times New Roman" w:hAnsi="Times New Roman" w:cs="Times New Roman"/>
          <w:b/>
          <w:bCs/>
          <w:i/>
          <w:iCs/>
          <w:sz w:val="28"/>
          <w:szCs w:val="28"/>
          <w:lang w:val="en-US" w:eastAsia="ru-RU"/>
        </w:rPr>
      </w:pPr>
    </w:p>
    <w:p w:rsidR="00E04CA6" w:rsidRPr="003161C5" w:rsidRDefault="00E04CA6" w:rsidP="00E04CA6">
      <w:pPr>
        <w:widowControl w:val="0"/>
        <w:overflowPunct w:val="0"/>
        <w:autoSpaceDE w:val="0"/>
        <w:autoSpaceDN w:val="0"/>
        <w:adjustRightInd w:val="0"/>
        <w:spacing w:before="100" w:after="0" w:line="240" w:lineRule="auto"/>
        <w:jc w:val="center"/>
        <w:textAlignment w:val="baseline"/>
        <w:outlineLvl w:val="4"/>
        <w:rPr>
          <w:rFonts w:ascii="Times New Roman" w:eastAsia="Times New Roman" w:hAnsi="Times New Roman" w:cs="Times New Roman"/>
          <w:b/>
          <w:bCs/>
          <w:i/>
          <w:iCs/>
          <w:sz w:val="28"/>
          <w:szCs w:val="28"/>
          <w:lang w:val="en-US" w:eastAsia="ru-RU"/>
        </w:rPr>
      </w:pPr>
    </w:p>
    <w:p w:rsidR="009F55B7" w:rsidRDefault="009F55B7" w:rsidP="00E04CA6">
      <w:pPr>
        <w:widowControl w:val="0"/>
        <w:overflowPunct w:val="0"/>
        <w:autoSpaceDE w:val="0"/>
        <w:autoSpaceDN w:val="0"/>
        <w:adjustRightInd w:val="0"/>
        <w:spacing w:before="100" w:after="0" w:line="240" w:lineRule="auto"/>
        <w:jc w:val="center"/>
        <w:textAlignment w:val="baseline"/>
        <w:rPr>
          <w:rFonts w:ascii="Times New Roman" w:hAnsi="Times New Roman" w:cs="Times New Roman"/>
          <w:b/>
          <w:sz w:val="40"/>
          <w:lang w:val="en-US"/>
        </w:rPr>
      </w:pPr>
    </w:p>
    <w:p w:rsidR="009F55B7" w:rsidRDefault="009F55B7" w:rsidP="00E04CA6">
      <w:pPr>
        <w:widowControl w:val="0"/>
        <w:overflowPunct w:val="0"/>
        <w:autoSpaceDE w:val="0"/>
        <w:autoSpaceDN w:val="0"/>
        <w:adjustRightInd w:val="0"/>
        <w:spacing w:before="100" w:after="0" w:line="240" w:lineRule="auto"/>
        <w:jc w:val="center"/>
        <w:textAlignment w:val="baseline"/>
        <w:rPr>
          <w:rFonts w:ascii="Times New Roman" w:hAnsi="Times New Roman" w:cs="Times New Roman"/>
          <w:b/>
          <w:sz w:val="40"/>
          <w:lang w:val="en-US"/>
        </w:rPr>
      </w:pPr>
    </w:p>
    <w:p w:rsidR="009F55B7" w:rsidRDefault="009F55B7" w:rsidP="00E04CA6">
      <w:pPr>
        <w:widowControl w:val="0"/>
        <w:overflowPunct w:val="0"/>
        <w:autoSpaceDE w:val="0"/>
        <w:autoSpaceDN w:val="0"/>
        <w:adjustRightInd w:val="0"/>
        <w:spacing w:before="100" w:after="0" w:line="240" w:lineRule="auto"/>
        <w:jc w:val="center"/>
        <w:textAlignment w:val="baseline"/>
        <w:rPr>
          <w:rFonts w:ascii="Times New Roman" w:hAnsi="Times New Roman" w:cs="Times New Roman"/>
          <w:b/>
          <w:sz w:val="40"/>
          <w:lang w:val="en-US"/>
        </w:rPr>
      </w:pPr>
    </w:p>
    <w:p w:rsidR="009F55B7" w:rsidRDefault="009F55B7" w:rsidP="00E04CA6">
      <w:pPr>
        <w:widowControl w:val="0"/>
        <w:overflowPunct w:val="0"/>
        <w:autoSpaceDE w:val="0"/>
        <w:autoSpaceDN w:val="0"/>
        <w:adjustRightInd w:val="0"/>
        <w:spacing w:before="100" w:after="0" w:line="240" w:lineRule="auto"/>
        <w:jc w:val="center"/>
        <w:textAlignment w:val="baseline"/>
        <w:rPr>
          <w:rFonts w:ascii="Times New Roman" w:hAnsi="Times New Roman" w:cs="Times New Roman"/>
          <w:b/>
          <w:sz w:val="40"/>
          <w:lang w:val="en-US"/>
        </w:rPr>
      </w:pPr>
    </w:p>
    <w:p w:rsidR="009F55B7" w:rsidRDefault="009F55B7" w:rsidP="00E04CA6">
      <w:pPr>
        <w:widowControl w:val="0"/>
        <w:overflowPunct w:val="0"/>
        <w:autoSpaceDE w:val="0"/>
        <w:autoSpaceDN w:val="0"/>
        <w:adjustRightInd w:val="0"/>
        <w:spacing w:before="100" w:after="0" w:line="240" w:lineRule="auto"/>
        <w:jc w:val="center"/>
        <w:textAlignment w:val="baseline"/>
        <w:rPr>
          <w:rFonts w:ascii="Times New Roman" w:hAnsi="Times New Roman" w:cs="Times New Roman"/>
          <w:b/>
          <w:sz w:val="40"/>
          <w:lang w:val="en-US"/>
        </w:rPr>
      </w:pPr>
    </w:p>
    <w:p w:rsidR="00E04CA6" w:rsidRPr="003161C5" w:rsidRDefault="00E04CA6" w:rsidP="00E04CA6">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b/>
          <w:sz w:val="40"/>
          <w:szCs w:val="40"/>
          <w:lang w:val="en-US"/>
        </w:rPr>
      </w:pPr>
      <w:r w:rsidRPr="003161C5">
        <w:rPr>
          <w:rFonts w:ascii="Times New Roman" w:hAnsi="Times New Roman" w:cs="Times New Roman"/>
          <w:b/>
          <w:sz w:val="40"/>
          <w:lang w:val="en-US"/>
        </w:rPr>
        <w:t>MAJOR PERFORMANCE RESULTS</w:t>
      </w:r>
    </w:p>
    <w:p w:rsidR="00E04CA6" w:rsidRPr="003161C5" w:rsidRDefault="00E04CA6" w:rsidP="00E04CA6">
      <w:pPr>
        <w:widowControl w:val="0"/>
        <w:tabs>
          <w:tab w:val="left" w:pos="57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36"/>
          <w:szCs w:val="36"/>
          <w:lang w:val="en-US"/>
        </w:rPr>
      </w:pPr>
    </w:p>
    <w:p w:rsidR="00E04CA6" w:rsidRPr="003161C5" w:rsidRDefault="00E04CA6" w:rsidP="00E04CA6">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b/>
          <w:sz w:val="36"/>
          <w:szCs w:val="36"/>
          <w:lang w:val="en-US"/>
        </w:rPr>
      </w:pPr>
      <w:r w:rsidRPr="003161C5">
        <w:rPr>
          <w:rFonts w:ascii="Times New Roman" w:hAnsi="Times New Roman" w:cs="Times New Roman"/>
          <w:b/>
          <w:sz w:val="36"/>
          <w:lang w:val="en-US"/>
        </w:rPr>
        <w:t>OF CJSC JSCB NATIONAL CLEARING CENTRE</w:t>
      </w:r>
    </w:p>
    <w:p w:rsidR="00E04CA6" w:rsidRPr="003161C5" w:rsidRDefault="00E04CA6" w:rsidP="00E04CA6">
      <w:pPr>
        <w:widowControl w:val="0"/>
        <w:overflowPunct w:val="0"/>
        <w:autoSpaceDE w:val="0"/>
        <w:autoSpaceDN w:val="0"/>
        <w:adjustRightInd w:val="0"/>
        <w:spacing w:before="100" w:after="0" w:line="240" w:lineRule="auto"/>
        <w:jc w:val="center"/>
        <w:textAlignment w:val="baseline"/>
        <w:outlineLvl w:val="0"/>
        <w:rPr>
          <w:rFonts w:ascii="Times New Roman" w:eastAsia="Times New Roman" w:hAnsi="Times New Roman" w:cs="Times New Roman"/>
          <w:b/>
          <w:sz w:val="28"/>
          <w:szCs w:val="28"/>
          <w:lang w:val="en-US"/>
        </w:rPr>
      </w:pPr>
      <w:r w:rsidRPr="003161C5">
        <w:rPr>
          <w:rFonts w:ascii="Times New Roman" w:hAnsi="Times New Roman" w:cs="Times New Roman"/>
          <w:b/>
          <w:sz w:val="36"/>
          <w:lang w:val="en-US"/>
        </w:rPr>
        <w:t>FOR THE YEAR 2013</w:t>
      </w:r>
    </w:p>
    <w:p w:rsidR="00E04CA6" w:rsidRPr="003161C5" w:rsidRDefault="00E04CA6" w:rsidP="00E04CA6">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lang w:val="en-US" w:eastAsia="ru-RU"/>
        </w:rPr>
      </w:pPr>
    </w:p>
    <w:p w:rsidR="0083092D" w:rsidRPr="00812E0F" w:rsidRDefault="00E04CA6" w:rsidP="00E04CA6">
      <w:pPr>
        <w:widowControl w:val="0"/>
        <w:overflowPunct w:val="0"/>
        <w:autoSpaceDE w:val="0"/>
        <w:autoSpaceDN w:val="0"/>
        <w:adjustRightInd w:val="0"/>
        <w:spacing w:before="100" w:after="120" w:line="240" w:lineRule="auto"/>
        <w:jc w:val="center"/>
        <w:textAlignment w:val="baseline"/>
        <w:rPr>
          <w:rFonts w:ascii="Times New Roman" w:eastAsia="Times New Roman" w:hAnsi="Times New Roman" w:cs="Times New Roman"/>
          <w:sz w:val="20"/>
          <w:szCs w:val="20"/>
          <w:lang w:val="en-US" w:eastAsia="ru-RU"/>
        </w:rPr>
      </w:pPr>
      <w:r w:rsidRPr="003161C5">
        <w:rPr>
          <w:rFonts w:ascii="Times New Roman" w:eastAsia="Times New Roman" w:hAnsi="Times New Roman" w:cs="Times New Roman"/>
          <w:sz w:val="20"/>
          <w:szCs w:val="20"/>
          <w:lang w:val="en-US" w:eastAsia="ru-RU"/>
        </w:rPr>
        <w:br w:type="page"/>
      </w:r>
    </w:p>
    <w:p w:rsidR="00961E31" w:rsidRPr="00961E31" w:rsidRDefault="00961E31" w:rsidP="00961E31">
      <w:pPr>
        <w:keepNext/>
        <w:widowControl w:val="0"/>
        <w:overflowPunct w:val="0"/>
        <w:autoSpaceDE w:val="0"/>
        <w:autoSpaceDN w:val="0"/>
        <w:adjustRightInd w:val="0"/>
        <w:spacing w:before="100" w:after="120" w:line="240" w:lineRule="auto"/>
        <w:jc w:val="center"/>
        <w:textAlignment w:val="baseline"/>
        <w:outlineLvl w:val="0"/>
        <w:rPr>
          <w:rFonts w:ascii="Times New Roman" w:eastAsia="Times New Roman" w:hAnsi="Times New Roman" w:cs="Times New Roman"/>
          <w:b/>
          <w:bCs/>
          <w:kern w:val="32"/>
          <w:sz w:val="28"/>
          <w:szCs w:val="28"/>
          <w:lang w:val="en-US" w:eastAsia="ru-RU"/>
        </w:rPr>
      </w:pPr>
      <w:bookmarkStart w:id="0" w:name="_Toc391636094"/>
      <w:bookmarkStart w:id="1" w:name="_Toc391636097"/>
      <w:proofErr w:type="gramStart"/>
      <w:r>
        <w:rPr>
          <w:rFonts w:ascii="Times New Roman" w:eastAsia="Times New Roman" w:hAnsi="Times New Roman" w:cs="Times New Roman"/>
          <w:b/>
          <w:bCs/>
          <w:kern w:val="32"/>
          <w:sz w:val="28"/>
          <w:szCs w:val="28"/>
          <w:lang w:val="en-US" w:eastAsia="ru-RU"/>
        </w:rPr>
        <w:t>1.</w:t>
      </w:r>
      <w:r w:rsidRPr="00961E31">
        <w:rPr>
          <w:rFonts w:ascii="Times New Roman" w:eastAsia="Times New Roman" w:hAnsi="Times New Roman" w:cs="Times New Roman"/>
          <w:b/>
          <w:bCs/>
          <w:kern w:val="32"/>
          <w:sz w:val="28"/>
          <w:szCs w:val="28"/>
          <w:lang w:val="en-US" w:eastAsia="ru-RU"/>
        </w:rPr>
        <w:t>General</w:t>
      </w:r>
      <w:proofErr w:type="gramEnd"/>
      <w:r w:rsidRPr="00961E31">
        <w:rPr>
          <w:rFonts w:ascii="Times New Roman" w:eastAsia="Times New Roman" w:hAnsi="Times New Roman" w:cs="Times New Roman"/>
          <w:b/>
          <w:bCs/>
          <w:kern w:val="32"/>
          <w:sz w:val="28"/>
          <w:szCs w:val="28"/>
          <w:lang w:val="en-US" w:eastAsia="ru-RU"/>
        </w:rPr>
        <w:t xml:space="preserve"> information</w:t>
      </w:r>
      <w:bookmarkEnd w:id="0"/>
    </w:p>
    <w:p w:rsidR="00961E31" w:rsidRPr="00961E31" w:rsidRDefault="00961E31" w:rsidP="00961E31">
      <w:pPr>
        <w:widowControl w:val="0"/>
        <w:overflowPunct w:val="0"/>
        <w:autoSpaceDE w:val="0"/>
        <w:autoSpaceDN w:val="0"/>
        <w:adjustRightInd w:val="0"/>
        <w:spacing w:after="120" w:line="240" w:lineRule="auto"/>
        <w:ind w:firstLine="360"/>
        <w:jc w:val="both"/>
        <w:textAlignment w:val="baseline"/>
        <w:rPr>
          <w:rFonts w:ascii="Times New Roman" w:hAnsi="Times New Roman" w:cs="Times New Roman"/>
          <w:sz w:val="24"/>
          <w:szCs w:val="24"/>
          <w:lang w:val="en-US"/>
        </w:rPr>
      </w:pPr>
    </w:p>
    <w:p w:rsidR="00961E31" w:rsidRPr="00961E31" w:rsidRDefault="00961E31" w:rsidP="00961E31">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rPr>
      </w:pPr>
      <w:r w:rsidRPr="00961E31">
        <w:rPr>
          <w:rFonts w:ascii="Times New Roman" w:hAnsi="Times New Roman" w:cs="Times New Roman"/>
          <w:sz w:val="24"/>
          <w:szCs w:val="24"/>
          <w:lang w:val="en-US"/>
        </w:rPr>
        <w:t xml:space="preserve">CJSC JSCB National Clearing Centre (hereinafter the Bank, NCC) was founded in 2005 pursuant to the resolution of the General Meeting of Founders and registered in the </w:t>
      </w:r>
      <w:proofErr w:type="spellStart"/>
      <w:r w:rsidRPr="00961E31">
        <w:rPr>
          <w:rFonts w:ascii="Times New Roman" w:hAnsi="Times New Roman" w:cs="Times New Roman"/>
          <w:sz w:val="24"/>
          <w:szCs w:val="24"/>
          <w:lang w:val="en-US"/>
        </w:rPr>
        <w:t>Interdistrict</w:t>
      </w:r>
      <w:proofErr w:type="spellEnd"/>
      <w:r w:rsidRPr="00961E31">
        <w:rPr>
          <w:rFonts w:ascii="Times New Roman" w:hAnsi="Times New Roman" w:cs="Times New Roman"/>
          <w:sz w:val="24"/>
          <w:szCs w:val="24"/>
          <w:lang w:val="en-US"/>
        </w:rPr>
        <w:t xml:space="preserve"> Federal Tax Service Office No. 50 for the City of Moscow on 30 May 2006 (Legal entity state registration certificate series 77 No. 010075586 of 30 May 2006, Primary State Registration Number – 1067711004481).</w:t>
      </w:r>
    </w:p>
    <w:p w:rsidR="00961E31" w:rsidRPr="00961E31" w:rsidRDefault="00961E31" w:rsidP="00961E31">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rPr>
      </w:pPr>
      <w:r w:rsidRPr="00961E31">
        <w:rPr>
          <w:rFonts w:ascii="Times New Roman" w:hAnsi="Times New Roman" w:cs="Times New Roman"/>
          <w:sz w:val="24"/>
          <w:szCs w:val="24"/>
          <w:lang w:val="en-US"/>
        </w:rPr>
        <w:t xml:space="preserve">On 30 May 2006, the Bank was granted the Bank of Russia Credit Institution State Registration Certificate of No. 3466, and on 16 August 2006 – the Bank of Russia License for Russian </w:t>
      </w:r>
      <w:proofErr w:type="spellStart"/>
      <w:r w:rsidRPr="00961E31">
        <w:rPr>
          <w:rFonts w:ascii="Times New Roman" w:hAnsi="Times New Roman" w:cs="Times New Roman"/>
          <w:sz w:val="24"/>
          <w:szCs w:val="24"/>
          <w:lang w:val="en-US"/>
        </w:rPr>
        <w:t>rouble</w:t>
      </w:r>
      <w:proofErr w:type="spellEnd"/>
      <w:r w:rsidRPr="00961E31">
        <w:rPr>
          <w:rFonts w:ascii="Times New Roman" w:hAnsi="Times New Roman" w:cs="Times New Roman"/>
          <w:sz w:val="24"/>
          <w:szCs w:val="24"/>
          <w:lang w:val="en-US"/>
        </w:rPr>
        <w:t xml:space="preserve"> and foreign currency banking activities (without no right to attract deposits from physical persons) No. 3466 of 16 August 2006. </w:t>
      </w:r>
    </w:p>
    <w:p w:rsidR="00961E31" w:rsidRPr="00961E31" w:rsidRDefault="00961E31" w:rsidP="00961E31">
      <w:pPr>
        <w:spacing w:after="120" w:line="240" w:lineRule="auto"/>
        <w:ind w:firstLine="567"/>
        <w:jc w:val="both"/>
        <w:rPr>
          <w:rFonts w:ascii="Times New Roman" w:eastAsiaTheme="minorEastAsia" w:hAnsi="Times New Roman" w:cs="Times New Roman"/>
          <w:sz w:val="24"/>
          <w:szCs w:val="24"/>
          <w:lang w:val="en-US"/>
        </w:rPr>
      </w:pPr>
      <w:proofErr w:type="gramStart"/>
      <w:r w:rsidRPr="00961E31">
        <w:rPr>
          <w:rFonts w:ascii="Times New Roman" w:eastAsiaTheme="minorEastAsia" w:hAnsi="Times New Roman" w:cs="Times New Roman"/>
          <w:sz w:val="24"/>
          <w:szCs w:val="24"/>
          <w:lang w:val="en-US"/>
        </w:rPr>
        <w:t>According to Federal Law No. 162-FZ.</w:t>
      </w:r>
      <w:proofErr w:type="gramEnd"/>
      <w:r w:rsidRPr="00961E31">
        <w:rPr>
          <w:rFonts w:ascii="Times New Roman" w:eastAsiaTheme="minorEastAsia" w:hAnsi="Times New Roman" w:cs="Times New Roman"/>
          <w:sz w:val="24"/>
          <w:szCs w:val="24"/>
          <w:lang w:val="en-US"/>
        </w:rPr>
        <w:t xml:space="preserve"> “On Amending Certain Legislative Acts of the Russian Federation following the Adoption of the Federal Law </w:t>
      </w:r>
      <w:proofErr w:type="gramStart"/>
      <w:r w:rsidRPr="00961E31">
        <w:rPr>
          <w:rFonts w:ascii="Times New Roman" w:eastAsiaTheme="minorEastAsia" w:hAnsi="Times New Roman" w:cs="Times New Roman"/>
          <w:sz w:val="24"/>
          <w:szCs w:val="24"/>
          <w:lang w:val="en-US"/>
        </w:rPr>
        <w:t>On</w:t>
      </w:r>
      <w:proofErr w:type="gramEnd"/>
      <w:r w:rsidRPr="00961E31">
        <w:rPr>
          <w:rFonts w:ascii="Times New Roman" w:eastAsiaTheme="minorEastAsia" w:hAnsi="Times New Roman" w:cs="Times New Roman"/>
          <w:sz w:val="24"/>
          <w:szCs w:val="24"/>
          <w:lang w:val="en-US"/>
        </w:rPr>
        <w:t xml:space="preserve"> the National Payment System" dated 27 June 2011; separate names of banking trades have been changed. In accordance with this, on 15 October 2012 the Bank obtained a new license </w:t>
      </w:r>
      <w:r w:rsidRPr="00961E31">
        <w:rPr>
          <w:rFonts w:ascii="Times New Roman" w:hAnsi="Times New Roman" w:cs="Times New Roman"/>
          <w:sz w:val="24"/>
          <w:szCs w:val="24"/>
          <w:lang w:val="en-US"/>
        </w:rPr>
        <w:t xml:space="preserve">for Russian </w:t>
      </w:r>
      <w:proofErr w:type="spellStart"/>
      <w:r w:rsidRPr="00961E31">
        <w:rPr>
          <w:rFonts w:ascii="Times New Roman" w:hAnsi="Times New Roman" w:cs="Times New Roman"/>
          <w:sz w:val="24"/>
          <w:szCs w:val="24"/>
          <w:lang w:val="en-US"/>
        </w:rPr>
        <w:t>rouble</w:t>
      </w:r>
      <w:proofErr w:type="spellEnd"/>
      <w:r w:rsidRPr="00961E31">
        <w:rPr>
          <w:rFonts w:ascii="Times New Roman" w:hAnsi="Times New Roman" w:cs="Times New Roman"/>
          <w:sz w:val="24"/>
          <w:szCs w:val="24"/>
          <w:lang w:val="en-US"/>
        </w:rPr>
        <w:t xml:space="preserve"> and foreign currency banking activities </w:t>
      </w:r>
      <w:r w:rsidRPr="00961E31">
        <w:rPr>
          <w:rFonts w:ascii="Times New Roman" w:eastAsiaTheme="minorEastAsia" w:hAnsi="Times New Roman" w:cs="Times New Roman"/>
          <w:sz w:val="24"/>
          <w:szCs w:val="24"/>
          <w:lang w:val="en-US"/>
        </w:rPr>
        <w:t>(without the right to attract deposits of cash resources from physical persons) No. 3466.</w:t>
      </w:r>
    </w:p>
    <w:p w:rsidR="00961E31" w:rsidRPr="00961E31" w:rsidRDefault="00961E31" w:rsidP="00961E31">
      <w:pPr>
        <w:spacing w:after="120" w:line="240" w:lineRule="auto"/>
        <w:ind w:firstLine="567"/>
        <w:jc w:val="both"/>
        <w:rPr>
          <w:rFonts w:ascii="Times New Roman" w:eastAsiaTheme="minorEastAsia" w:hAnsi="Times New Roman" w:cs="Times New Roman"/>
          <w:sz w:val="24"/>
          <w:szCs w:val="24"/>
          <w:lang w:val="en-US"/>
        </w:rPr>
      </w:pPr>
      <w:r w:rsidRPr="00961E31">
        <w:rPr>
          <w:rFonts w:ascii="Times New Roman" w:eastAsiaTheme="minorEastAsia" w:hAnsi="Times New Roman" w:cs="Times New Roman"/>
          <w:sz w:val="24"/>
          <w:szCs w:val="24"/>
          <w:lang w:val="en-US"/>
        </w:rPr>
        <w:t>Besides, on 28 December 2012, NCC obtained the license to attract deposits and allocate precious metals.</w:t>
      </w:r>
    </w:p>
    <w:p w:rsidR="00961E31" w:rsidRPr="00961E31" w:rsidRDefault="00961E31" w:rsidP="00961E31">
      <w:pPr>
        <w:widowControl w:val="0"/>
        <w:overflowPunct w:val="0"/>
        <w:autoSpaceDE w:val="0"/>
        <w:autoSpaceDN w:val="0"/>
        <w:adjustRightInd w:val="0"/>
        <w:spacing w:after="120" w:line="240" w:lineRule="auto"/>
        <w:ind w:firstLine="567"/>
        <w:jc w:val="both"/>
        <w:textAlignment w:val="baseline"/>
        <w:rPr>
          <w:rFonts w:ascii="Times New Roman" w:eastAsia="Calibri" w:hAnsi="Times New Roman" w:cs="Times New Roman"/>
          <w:sz w:val="24"/>
          <w:szCs w:val="24"/>
          <w:lang w:val="en-US"/>
        </w:rPr>
      </w:pPr>
      <w:r w:rsidRPr="00961E31">
        <w:rPr>
          <w:rFonts w:ascii="Times New Roman" w:hAnsi="Times New Roman" w:cs="Times New Roman"/>
          <w:sz w:val="24"/>
          <w:szCs w:val="24"/>
          <w:lang w:val="en-US"/>
        </w:rPr>
        <w:t>In execution of the Federal Law "On Clearing and Clearing Activities" and in order to have an opportunity to carry out clearing activities from 1 January 2013, the Bank obtained the license on the performance of clearing activities No. 077-00003-000010 dated 18 December 2012.</w:t>
      </w:r>
    </w:p>
    <w:p w:rsidR="00961E31" w:rsidRPr="00961E31" w:rsidRDefault="00961E31" w:rsidP="00961E31">
      <w:pPr>
        <w:spacing w:after="120" w:line="240" w:lineRule="auto"/>
        <w:ind w:firstLine="567"/>
        <w:jc w:val="both"/>
        <w:rPr>
          <w:rFonts w:ascii="Times New Roman" w:eastAsia="Times New Roman" w:hAnsi="Times New Roman" w:cs="Times New Roman"/>
          <w:sz w:val="24"/>
          <w:szCs w:val="24"/>
          <w:lang w:val="en-US"/>
        </w:rPr>
      </w:pPr>
      <w:r w:rsidRPr="00961E31">
        <w:rPr>
          <w:rFonts w:ascii="Times New Roman" w:hAnsi="Times New Roman" w:cs="Times New Roman"/>
          <w:sz w:val="24"/>
          <w:szCs w:val="24"/>
          <w:lang w:val="en-US"/>
        </w:rPr>
        <w:t>NCC has also the following licenses:</w:t>
      </w:r>
    </w:p>
    <w:p w:rsidR="00961E31" w:rsidRPr="00961E31" w:rsidRDefault="00961E31" w:rsidP="00961E31">
      <w:pPr>
        <w:spacing w:after="120" w:line="240" w:lineRule="auto"/>
        <w:ind w:firstLine="567"/>
        <w:jc w:val="both"/>
        <w:rPr>
          <w:rFonts w:ascii="Times New Roman" w:eastAsia="Times New Roman" w:hAnsi="Times New Roman" w:cs="Times New Roman"/>
          <w:sz w:val="24"/>
          <w:szCs w:val="24"/>
          <w:lang w:val="en-US"/>
        </w:rPr>
      </w:pPr>
      <w:r w:rsidRPr="00961E31">
        <w:rPr>
          <w:rFonts w:ascii="Times New Roman" w:hAnsi="Times New Roman" w:cs="Times New Roman"/>
          <w:sz w:val="24"/>
          <w:szCs w:val="24"/>
          <w:lang w:val="en-US"/>
        </w:rPr>
        <w:t>1. License for encryption (cryptographic) tool maintenance, issued by the Federal Security Service of the Russian Federation Centre for licensing, certification and protecting national security information.</w:t>
      </w:r>
    </w:p>
    <w:p w:rsidR="00961E31" w:rsidRPr="00961E31" w:rsidRDefault="00961E31" w:rsidP="00961E31">
      <w:pPr>
        <w:spacing w:after="120" w:line="240" w:lineRule="auto"/>
        <w:ind w:firstLine="567"/>
        <w:jc w:val="both"/>
        <w:rPr>
          <w:rFonts w:ascii="Times New Roman" w:eastAsia="Times New Roman" w:hAnsi="Times New Roman" w:cs="Times New Roman"/>
          <w:sz w:val="24"/>
          <w:szCs w:val="24"/>
          <w:lang w:val="en-US"/>
        </w:rPr>
      </w:pPr>
      <w:r w:rsidRPr="00961E31">
        <w:rPr>
          <w:rFonts w:ascii="Times New Roman" w:hAnsi="Times New Roman" w:cs="Times New Roman"/>
          <w:sz w:val="24"/>
          <w:szCs w:val="24"/>
          <w:lang w:val="en-US"/>
        </w:rPr>
        <w:t>2. License for encryption services, issued by the Federal Security Service of the Russian Federation Centre for licensing, certification and protecting national security information.</w:t>
      </w:r>
    </w:p>
    <w:p w:rsidR="00961E31" w:rsidRPr="00961E31" w:rsidRDefault="00961E31" w:rsidP="00961E31">
      <w:pPr>
        <w:spacing w:after="120" w:line="240" w:lineRule="auto"/>
        <w:ind w:firstLine="567"/>
        <w:jc w:val="both"/>
        <w:rPr>
          <w:rFonts w:ascii="Times New Roman" w:eastAsia="Times New Roman" w:hAnsi="Times New Roman" w:cs="Times New Roman"/>
          <w:sz w:val="24"/>
          <w:szCs w:val="24"/>
          <w:lang w:val="en-US"/>
        </w:rPr>
      </w:pPr>
      <w:r w:rsidRPr="00961E31">
        <w:rPr>
          <w:rFonts w:ascii="Times New Roman" w:hAnsi="Times New Roman" w:cs="Times New Roman"/>
          <w:sz w:val="24"/>
          <w:szCs w:val="24"/>
          <w:lang w:val="en-US"/>
        </w:rPr>
        <w:t>3. License for encryption (cryptographic) tool distribution, issued by the Federal Security Service of the Russian Federation Centre for licensing, certification and protecting national security information.</w:t>
      </w:r>
    </w:p>
    <w:p w:rsidR="00961E31" w:rsidRPr="00961E31" w:rsidRDefault="00961E31" w:rsidP="00961E31">
      <w:pPr>
        <w:spacing w:before="100" w:after="120" w:line="240" w:lineRule="auto"/>
        <w:jc w:val="center"/>
        <w:rPr>
          <w:rFonts w:ascii="Times New Roman" w:eastAsiaTheme="minorEastAsia" w:hAnsi="Times New Roman" w:cs="Times New Roman"/>
          <w:b/>
          <w:sz w:val="24"/>
          <w:szCs w:val="24"/>
          <w:lang w:val="en-US"/>
        </w:rPr>
      </w:pPr>
    </w:p>
    <w:p w:rsidR="00961E31" w:rsidRPr="00961E31" w:rsidRDefault="00961E31" w:rsidP="00961E31">
      <w:pPr>
        <w:spacing w:before="100" w:after="120" w:line="240" w:lineRule="auto"/>
        <w:jc w:val="center"/>
        <w:rPr>
          <w:rFonts w:ascii="Times New Roman" w:eastAsiaTheme="minorEastAsia" w:hAnsi="Times New Roman" w:cs="Times New Roman"/>
          <w:b/>
          <w:sz w:val="24"/>
          <w:szCs w:val="24"/>
          <w:lang w:val="en-US"/>
        </w:rPr>
      </w:pPr>
      <w:r w:rsidRPr="00961E31">
        <w:rPr>
          <w:rFonts w:ascii="Times New Roman" w:eastAsiaTheme="minorEastAsia" w:hAnsi="Times New Roman" w:cs="Times New Roman"/>
          <w:b/>
          <w:sz w:val="24"/>
          <w:szCs w:val="24"/>
          <w:lang w:val="en-US"/>
        </w:rPr>
        <w:t>Full name of the bank:</w:t>
      </w:r>
    </w:p>
    <w:p w:rsidR="00961E31" w:rsidRPr="00961E31" w:rsidRDefault="00961E31" w:rsidP="00961E31">
      <w:pPr>
        <w:widowControl w:val="0"/>
        <w:overflowPunct w:val="0"/>
        <w:autoSpaceDE w:val="0"/>
        <w:autoSpaceDN w:val="0"/>
        <w:adjustRightInd w:val="0"/>
        <w:spacing w:after="120" w:line="240" w:lineRule="auto"/>
        <w:ind w:firstLine="360"/>
        <w:jc w:val="both"/>
        <w:textAlignment w:val="baseline"/>
        <w:rPr>
          <w:rFonts w:ascii="Times New Roman" w:eastAsia="Times New Roman" w:hAnsi="Times New Roman" w:cs="Times New Roman"/>
          <w:sz w:val="24"/>
          <w:szCs w:val="24"/>
          <w:lang w:val="en-US"/>
        </w:rPr>
      </w:pPr>
      <w:r w:rsidRPr="00961E31">
        <w:rPr>
          <w:rFonts w:ascii="Times New Roman" w:hAnsi="Times New Roman" w:cs="Times New Roman"/>
          <w:sz w:val="24"/>
          <w:szCs w:val="24"/>
          <w:lang w:val="en-US"/>
        </w:rPr>
        <w:t xml:space="preserve">- </w:t>
      </w:r>
      <w:proofErr w:type="gramStart"/>
      <w:r w:rsidRPr="00961E31">
        <w:rPr>
          <w:rFonts w:ascii="Times New Roman" w:hAnsi="Times New Roman" w:cs="Times New Roman"/>
          <w:sz w:val="24"/>
          <w:szCs w:val="24"/>
          <w:lang w:val="en-US"/>
        </w:rPr>
        <w:t>in</w:t>
      </w:r>
      <w:proofErr w:type="gramEnd"/>
      <w:r w:rsidRPr="00961E31">
        <w:rPr>
          <w:rFonts w:ascii="Times New Roman" w:hAnsi="Times New Roman" w:cs="Times New Roman"/>
          <w:sz w:val="24"/>
          <w:szCs w:val="24"/>
          <w:lang w:val="en-US"/>
        </w:rPr>
        <w:t xml:space="preserve"> Russian – </w:t>
      </w:r>
      <w:proofErr w:type="spellStart"/>
      <w:r w:rsidRPr="00961E31">
        <w:rPr>
          <w:rFonts w:ascii="Times New Roman" w:hAnsi="Times New Roman" w:cs="Times New Roman"/>
          <w:sz w:val="24"/>
          <w:szCs w:val="24"/>
          <w:lang w:val="en-US"/>
        </w:rPr>
        <w:t>Акционерный</w:t>
      </w:r>
      <w:proofErr w:type="spellEnd"/>
      <w:r w:rsidRPr="00961E31">
        <w:rPr>
          <w:rFonts w:ascii="Times New Roman" w:hAnsi="Times New Roman" w:cs="Times New Roman"/>
          <w:sz w:val="24"/>
          <w:szCs w:val="24"/>
          <w:lang w:val="en-US"/>
        </w:rPr>
        <w:t xml:space="preserve"> </w:t>
      </w:r>
      <w:proofErr w:type="spellStart"/>
      <w:r w:rsidRPr="00961E31">
        <w:rPr>
          <w:rFonts w:ascii="Times New Roman" w:hAnsi="Times New Roman" w:cs="Times New Roman"/>
          <w:sz w:val="24"/>
          <w:szCs w:val="24"/>
          <w:lang w:val="en-US"/>
        </w:rPr>
        <w:t>Коммерческий</w:t>
      </w:r>
      <w:proofErr w:type="spellEnd"/>
      <w:r w:rsidRPr="00961E31">
        <w:rPr>
          <w:rFonts w:ascii="Times New Roman" w:hAnsi="Times New Roman" w:cs="Times New Roman"/>
          <w:sz w:val="24"/>
          <w:szCs w:val="24"/>
          <w:lang w:val="en-US"/>
        </w:rPr>
        <w:t xml:space="preserve"> </w:t>
      </w:r>
      <w:proofErr w:type="spellStart"/>
      <w:r w:rsidRPr="00961E31">
        <w:rPr>
          <w:rFonts w:ascii="Times New Roman" w:hAnsi="Times New Roman" w:cs="Times New Roman"/>
          <w:sz w:val="24"/>
          <w:szCs w:val="24"/>
          <w:lang w:val="en-US"/>
        </w:rPr>
        <w:t>Банк</w:t>
      </w:r>
      <w:proofErr w:type="spellEnd"/>
      <w:r w:rsidRPr="00961E31">
        <w:rPr>
          <w:rFonts w:ascii="Times New Roman" w:hAnsi="Times New Roman" w:cs="Times New Roman"/>
          <w:sz w:val="24"/>
          <w:szCs w:val="24"/>
          <w:lang w:val="en-US"/>
        </w:rPr>
        <w:t xml:space="preserve"> " </w:t>
      </w:r>
      <w:proofErr w:type="spellStart"/>
      <w:r w:rsidRPr="00961E31">
        <w:rPr>
          <w:rFonts w:ascii="Times New Roman" w:hAnsi="Times New Roman" w:cs="Times New Roman"/>
          <w:sz w:val="24"/>
          <w:szCs w:val="24"/>
          <w:lang w:val="en-US"/>
        </w:rPr>
        <w:t>Национальный</w:t>
      </w:r>
      <w:proofErr w:type="spellEnd"/>
      <w:r w:rsidRPr="00961E31">
        <w:rPr>
          <w:rFonts w:ascii="Times New Roman" w:hAnsi="Times New Roman" w:cs="Times New Roman"/>
          <w:sz w:val="24"/>
          <w:szCs w:val="24"/>
          <w:lang w:val="en-US"/>
        </w:rPr>
        <w:t xml:space="preserve"> </w:t>
      </w:r>
      <w:proofErr w:type="spellStart"/>
      <w:r w:rsidRPr="00961E31">
        <w:rPr>
          <w:rFonts w:ascii="Times New Roman" w:hAnsi="Times New Roman" w:cs="Times New Roman"/>
          <w:sz w:val="24"/>
          <w:szCs w:val="24"/>
          <w:lang w:val="en-US"/>
        </w:rPr>
        <w:t>Клиринговый</w:t>
      </w:r>
      <w:proofErr w:type="spellEnd"/>
      <w:r w:rsidRPr="00961E31">
        <w:rPr>
          <w:rFonts w:ascii="Times New Roman" w:hAnsi="Times New Roman" w:cs="Times New Roman"/>
          <w:sz w:val="24"/>
          <w:szCs w:val="24"/>
          <w:lang w:val="en-US"/>
        </w:rPr>
        <w:t xml:space="preserve"> </w:t>
      </w:r>
      <w:proofErr w:type="spellStart"/>
      <w:r w:rsidRPr="00961E31">
        <w:rPr>
          <w:rFonts w:ascii="Times New Roman" w:hAnsi="Times New Roman" w:cs="Times New Roman"/>
          <w:sz w:val="24"/>
          <w:szCs w:val="24"/>
          <w:lang w:val="en-US"/>
        </w:rPr>
        <w:t>Цен</w:t>
      </w:r>
      <w:proofErr w:type="spellEnd"/>
      <w:r w:rsidRPr="00961E31">
        <w:rPr>
          <w:rFonts w:ascii="Times New Roman" w:hAnsi="Times New Roman" w:cs="Times New Roman"/>
          <w:sz w:val="24"/>
          <w:szCs w:val="24"/>
        </w:rPr>
        <w:t>т</w:t>
      </w:r>
      <w:r w:rsidRPr="00961E31">
        <w:rPr>
          <w:rFonts w:ascii="Times New Roman" w:hAnsi="Times New Roman" w:cs="Times New Roman"/>
          <w:sz w:val="24"/>
          <w:szCs w:val="24"/>
          <w:lang w:val="en-US"/>
        </w:rPr>
        <w:t>р" (</w:t>
      </w:r>
      <w:proofErr w:type="spellStart"/>
      <w:r w:rsidRPr="00961E31">
        <w:rPr>
          <w:rFonts w:ascii="Times New Roman" w:hAnsi="Times New Roman" w:cs="Times New Roman"/>
          <w:sz w:val="24"/>
          <w:szCs w:val="24"/>
          <w:lang w:val="en-US"/>
        </w:rPr>
        <w:t>Закры</w:t>
      </w:r>
      <w:proofErr w:type="spellEnd"/>
      <w:r w:rsidRPr="00961E31">
        <w:rPr>
          <w:rFonts w:ascii="Times New Roman" w:hAnsi="Times New Roman" w:cs="Times New Roman"/>
          <w:sz w:val="24"/>
          <w:szCs w:val="24"/>
        </w:rPr>
        <w:t>т</w:t>
      </w:r>
      <w:proofErr w:type="spellStart"/>
      <w:r w:rsidRPr="00961E31">
        <w:rPr>
          <w:rFonts w:ascii="Times New Roman" w:hAnsi="Times New Roman" w:cs="Times New Roman"/>
          <w:sz w:val="24"/>
          <w:szCs w:val="24"/>
          <w:lang w:val="en-US"/>
        </w:rPr>
        <w:t>ое</w:t>
      </w:r>
      <w:proofErr w:type="spellEnd"/>
      <w:r w:rsidRPr="00961E31">
        <w:rPr>
          <w:rFonts w:ascii="Times New Roman" w:hAnsi="Times New Roman" w:cs="Times New Roman"/>
          <w:sz w:val="24"/>
          <w:szCs w:val="24"/>
          <w:lang w:val="en-US"/>
        </w:rPr>
        <w:t xml:space="preserve"> </w:t>
      </w:r>
      <w:proofErr w:type="spellStart"/>
      <w:r w:rsidRPr="00961E31">
        <w:rPr>
          <w:rFonts w:ascii="Times New Roman" w:hAnsi="Times New Roman" w:cs="Times New Roman"/>
          <w:sz w:val="24"/>
          <w:szCs w:val="24"/>
          <w:lang w:val="en-US"/>
        </w:rPr>
        <w:t>акционерное</w:t>
      </w:r>
      <w:proofErr w:type="spellEnd"/>
      <w:r w:rsidRPr="00961E31">
        <w:rPr>
          <w:rFonts w:ascii="Times New Roman" w:hAnsi="Times New Roman" w:cs="Times New Roman"/>
          <w:sz w:val="24"/>
          <w:szCs w:val="24"/>
          <w:lang w:val="en-US"/>
        </w:rPr>
        <w:t xml:space="preserve"> </w:t>
      </w:r>
      <w:proofErr w:type="spellStart"/>
      <w:r w:rsidRPr="00961E31">
        <w:rPr>
          <w:rFonts w:ascii="Times New Roman" w:hAnsi="Times New Roman" w:cs="Times New Roman"/>
          <w:sz w:val="24"/>
          <w:szCs w:val="24"/>
          <w:lang w:val="en-US"/>
        </w:rPr>
        <w:t>общество</w:t>
      </w:r>
      <w:proofErr w:type="spellEnd"/>
      <w:r w:rsidRPr="00961E31">
        <w:rPr>
          <w:rFonts w:ascii="Times New Roman" w:hAnsi="Times New Roman" w:cs="Times New Roman"/>
          <w:sz w:val="24"/>
          <w:szCs w:val="24"/>
          <w:lang w:val="en-US"/>
        </w:rPr>
        <w:t>) ("</w:t>
      </w:r>
      <w:proofErr w:type="spellStart"/>
      <w:r w:rsidRPr="00961E31">
        <w:rPr>
          <w:rFonts w:ascii="Times New Roman" w:hAnsi="Times New Roman" w:cs="Times New Roman"/>
          <w:sz w:val="24"/>
          <w:szCs w:val="24"/>
          <w:lang w:val="en-US"/>
        </w:rPr>
        <w:t>Aktsionerny</w:t>
      </w:r>
      <w:proofErr w:type="spellEnd"/>
      <w:r w:rsidRPr="00961E31">
        <w:rPr>
          <w:rFonts w:ascii="Times New Roman" w:hAnsi="Times New Roman" w:cs="Times New Roman"/>
          <w:sz w:val="24"/>
          <w:szCs w:val="24"/>
          <w:lang w:val="en-US"/>
        </w:rPr>
        <w:t xml:space="preserve"> </w:t>
      </w:r>
      <w:proofErr w:type="spellStart"/>
      <w:r w:rsidRPr="00961E31">
        <w:rPr>
          <w:rFonts w:ascii="Times New Roman" w:hAnsi="Times New Roman" w:cs="Times New Roman"/>
          <w:sz w:val="24"/>
          <w:szCs w:val="24"/>
          <w:lang w:val="en-US"/>
        </w:rPr>
        <w:t>Commerchesky</w:t>
      </w:r>
      <w:proofErr w:type="spellEnd"/>
      <w:r w:rsidRPr="00961E31">
        <w:rPr>
          <w:rFonts w:ascii="Times New Roman" w:hAnsi="Times New Roman" w:cs="Times New Roman"/>
          <w:sz w:val="24"/>
          <w:szCs w:val="24"/>
          <w:lang w:val="en-US"/>
        </w:rPr>
        <w:t xml:space="preserve"> Bank ''</w:t>
      </w:r>
      <w:proofErr w:type="spellStart"/>
      <w:r w:rsidRPr="00961E31">
        <w:rPr>
          <w:rFonts w:ascii="Times New Roman" w:hAnsi="Times New Roman" w:cs="Times New Roman"/>
          <w:sz w:val="24"/>
          <w:szCs w:val="24"/>
          <w:lang w:val="en-US"/>
        </w:rPr>
        <w:t>Natsionalnyi</w:t>
      </w:r>
      <w:proofErr w:type="spellEnd"/>
      <w:r w:rsidRPr="00961E31">
        <w:rPr>
          <w:rFonts w:ascii="Times New Roman" w:hAnsi="Times New Roman" w:cs="Times New Roman"/>
          <w:sz w:val="24"/>
          <w:szCs w:val="24"/>
          <w:lang w:val="en-US"/>
        </w:rPr>
        <w:t xml:space="preserve"> </w:t>
      </w:r>
      <w:proofErr w:type="spellStart"/>
      <w:r w:rsidRPr="00961E31">
        <w:rPr>
          <w:rFonts w:ascii="Times New Roman" w:hAnsi="Times New Roman" w:cs="Times New Roman"/>
          <w:sz w:val="24"/>
          <w:szCs w:val="24"/>
          <w:lang w:val="en-US"/>
        </w:rPr>
        <w:t>Kliringovyi</w:t>
      </w:r>
      <w:proofErr w:type="spellEnd"/>
      <w:r w:rsidRPr="00961E31">
        <w:rPr>
          <w:rFonts w:ascii="Times New Roman" w:hAnsi="Times New Roman" w:cs="Times New Roman"/>
          <w:sz w:val="24"/>
          <w:szCs w:val="24"/>
          <w:lang w:val="en-US"/>
        </w:rPr>
        <w:t xml:space="preserve"> </w:t>
      </w:r>
      <w:proofErr w:type="spellStart"/>
      <w:r w:rsidRPr="00961E31">
        <w:rPr>
          <w:rFonts w:ascii="Times New Roman" w:hAnsi="Times New Roman" w:cs="Times New Roman"/>
          <w:sz w:val="24"/>
          <w:szCs w:val="24"/>
          <w:lang w:val="en-US"/>
        </w:rPr>
        <w:t>Tsentr</w:t>
      </w:r>
      <w:proofErr w:type="spellEnd"/>
      <w:r w:rsidRPr="00961E31">
        <w:rPr>
          <w:rFonts w:ascii="Times New Roman" w:hAnsi="Times New Roman" w:cs="Times New Roman"/>
          <w:sz w:val="24"/>
          <w:szCs w:val="24"/>
          <w:lang w:val="en-US"/>
        </w:rPr>
        <w:t>'" (</w:t>
      </w:r>
      <w:proofErr w:type="spellStart"/>
      <w:r w:rsidRPr="00961E31">
        <w:rPr>
          <w:rFonts w:ascii="Times New Roman" w:hAnsi="Times New Roman" w:cs="Times New Roman"/>
          <w:sz w:val="24"/>
          <w:szCs w:val="24"/>
          <w:lang w:val="en-US"/>
        </w:rPr>
        <w:t>Zakrytoe</w:t>
      </w:r>
      <w:proofErr w:type="spellEnd"/>
      <w:r w:rsidRPr="00961E31">
        <w:rPr>
          <w:rFonts w:ascii="Times New Roman" w:hAnsi="Times New Roman" w:cs="Times New Roman"/>
          <w:sz w:val="24"/>
          <w:szCs w:val="24"/>
          <w:lang w:val="en-US"/>
        </w:rPr>
        <w:t xml:space="preserve"> </w:t>
      </w:r>
      <w:proofErr w:type="spellStart"/>
      <w:r w:rsidRPr="00961E31">
        <w:rPr>
          <w:rFonts w:ascii="Times New Roman" w:hAnsi="Times New Roman" w:cs="Times New Roman"/>
          <w:sz w:val="24"/>
          <w:szCs w:val="24"/>
          <w:lang w:val="en-US"/>
        </w:rPr>
        <w:t>aktsionernoe</w:t>
      </w:r>
      <w:proofErr w:type="spellEnd"/>
      <w:r w:rsidRPr="00961E31">
        <w:rPr>
          <w:rFonts w:ascii="Times New Roman" w:hAnsi="Times New Roman" w:cs="Times New Roman"/>
          <w:sz w:val="24"/>
          <w:szCs w:val="24"/>
          <w:lang w:val="en-US"/>
        </w:rPr>
        <w:t xml:space="preserve"> </w:t>
      </w:r>
      <w:proofErr w:type="spellStart"/>
      <w:r w:rsidRPr="00961E31">
        <w:rPr>
          <w:rFonts w:ascii="Times New Roman" w:hAnsi="Times New Roman" w:cs="Times New Roman"/>
          <w:sz w:val="24"/>
          <w:szCs w:val="24"/>
          <w:lang w:val="en-US"/>
        </w:rPr>
        <w:t>obschestvo</w:t>
      </w:r>
      <w:proofErr w:type="spellEnd"/>
      <w:r w:rsidRPr="00961E31">
        <w:rPr>
          <w:rFonts w:ascii="Times New Roman" w:hAnsi="Times New Roman" w:cs="Times New Roman"/>
          <w:sz w:val="24"/>
          <w:szCs w:val="24"/>
          <w:lang w:val="en-US"/>
        </w:rPr>
        <w:t>));</w:t>
      </w:r>
    </w:p>
    <w:p w:rsidR="00961E31" w:rsidRPr="00961E31" w:rsidRDefault="00961E31" w:rsidP="00961E31">
      <w:pPr>
        <w:widowControl w:val="0"/>
        <w:overflowPunct w:val="0"/>
        <w:autoSpaceDE w:val="0"/>
        <w:autoSpaceDN w:val="0"/>
        <w:adjustRightInd w:val="0"/>
        <w:spacing w:after="120" w:line="240" w:lineRule="auto"/>
        <w:ind w:firstLine="360"/>
        <w:jc w:val="both"/>
        <w:textAlignment w:val="baseline"/>
        <w:rPr>
          <w:rFonts w:ascii="Times New Roman" w:hAnsi="Times New Roman" w:cs="Times New Roman"/>
          <w:sz w:val="24"/>
          <w:szCs w:val="24"/>
          <w:lang w:val="en-US"/>
        </w:rPr>
      </w:pPr>
      <w:r w:rsidRPr="00961E31">
        <w:rPr>
          <w:rFonts w:ascii="Times New Roman" w:hAnsi="Times New Roman" w:cs="Times New Roman"/>
          <w:sz w:val="24"/>
          <w:szCs w:val="24"/>
          <w:lang w:val="en-US"/>
        </w:rPr>
        <w:t xml:space="preserve">- </w:t>
      </w:r>
      <w:proofErr w:type="gramStart"/>
      <w:r w:rsidRPr="00961E31">
        <w:rPr>
          <w:rFonts w:ascii="Times New Roman" w:hAnsi="Times New Roman" w:cs="Times New Roman"/>
          <w:sz w:val="24"/>
          <w:szCs w:val="24"/>
          <w:lang w:val="en-US"/>
        </w:rPr>
        <w:t>in</w:t>
      </w:r>
      <w:proofErr w:type="gramEnd"/>
      <w:r w:rsidRPr="00961E31">
        <w:rPr>
          <w:rFonts w:ascii="Times New Roman" w:hAnsi="Times New Roman" w:cs="Times New Roman"/>
          <w:sz w:val="24"/>
          <w:szCs w:val="24"/>
          <w:lang w:val="en-US"/>
        </w:rPr>
        <w:t xml:space="preserve"> English – Bank “National Clearing Centre" Closed joint-Stock company.</w:t>
      </w:r>
    </w:p>
    <w:p w:rsidR="00961E31" w:rsidRPr="00961E31" w:rsidRDefault="00961E31" w:rsidP="00961E31">
      <w:pPr>
        <w:widowControl w:val="0"/>
        <w:overflowPunct w:val="0"/>
        <w:autoSpaceDE w:val="0"/>
        <w:autoSpaceDN w:val="0"/>
        <w:adjustRightInd w:val="0"/>
        <w:spacing w:after="120" w:line="240" w:lineRule="auto"/>
        <w:ind w:firstLine="360"/>
        <w:jc w:val="both"/>
        <w:textAlignment w:val="baseline"/>
        <w:rPr>
          <w:rFonts w:ascii="Times New Roman" w:eastAsia="Times New Roman" w:hAnsi="Times New Roman" w:cs="Times New Roman"/>
          <w:sz w:val="24"/>
          <w:szCs w:val="24"/>
          <w:lang w:val="en-US"/>
        </w:rPr>
      </w:pPr>
    </w:p>
    <w:p w:rsidR="00961E31" w:rsidRPr="00961E31" w:rsidRDefault="00961E31" w:rsidP="00961E31">
      <w:pPr>
        <w:widowControl w:val="0"/>
        <w:overflowPunct w:val="0"/>
        <w:autoSpaceDE w:val="0"/>
        <w:autoSpaceDN w:val="0"/>
        <w:adjustRightInd w:val="0"/>
        <w:spacing w:before="100" w:after="120" w:line="240" w:lineRule="auto"/>
        <w:jc w:val="center"/>
        <w:textAlignment w:val="baseline"/>
        <w:rPr>
          <w:rFonts w:ascii="Times New Roman" w:eastAsia="Times New Roman" w:hAnsi="Times New Roman" w:cs="Times New Roman"/>
          <w:b/>
          <w:sz w:val="24"/>
          <w:szCs w:val="24"/>
          <w:lang w:val="en-US"/>
        </w:rPr>
      </w:pPr>
      <w:r w:rsidRPr="00961E31">
        <w:rPr>
          <w:rFonts w:ascii="Times New Roman" w:hAnsi="Times New Roman" w:cs="Times New Roman"/>
          <w:b/>
          <w:sz w:val="24"/>
          <w:szCs w:val="24"/>
          <w:lang w:val="en-US"/>
        </w:rPr>
        <w:t>Short name of the Bank:</w:t>
      </w:r>
    </w:p>
    <w:p w:rsidR="00961E31" w:rsidRPr="00961E31" w:rsidRDefault="00961E31" w:rsidP="00961E31">
      <w:pPr>
        <w:widowControl w:val="0"/>
        <w:overflowPunct w:val="0"/>
        <w:autoSpaceDE w:val="0"/>
        <w:autoSpaceDN w:val="0"/>
        <w:adjustRightInd w:val="0"/>
        <w:spacing w:after="120" w:line="240" w:lineRule="auto"/>
        <w:ind w:firstLine="360"/>
        <w:jc w:val="both"/>
        <w:textAlignment w:val="baseline"/>
        <w:rPr>
          <w:rFonts w:ascii="Times New Roman" w:hAnsi="Times New Roman" w:cs="Times New Roman"/>
          <w:sz w:val="24"/>
          <w:szCs w:val="24"/>
          <w:lang w:val="en-US"/>
        </w:rPr>
      </w:pPr>
      <w:r w:rsidRPr="00961E31">
        <w:rPr>
          <w:rFonts w:ascii="Times New Roman" w:hAnsi="Times New Roman" w:cs="Times New Roman"/>
          <w:sz w:val="24"/>
          <w:szCs w:val="24"/>
          <w:lang w:val="en-US"/>
        </w:rPr>
        <w:t xml:space="preserve">- </w:t>
      </w:r>
      <w:proofErr w:type="gramStart"/>
      <w:r w:rsidRPr="00961E31">
        <w:rPr>
          <w:rFonts w:ascii="Times New Roman" w:hAnsi="Times New Roman" w:cs="Times New Roman"/>
          <w:sz w:val="24"/>
          <w:szCs w:val="24"/>
          <w:lang w:val="en-US"/>
        </w:rPr>
        <w:t>in</w:t>
      </w:r>
      <w:proofErr w:type="gramEnd"/>
      <w:r w:rsidRPr="00961E31">
        <w:rPr>
          <w:rFonts w:ascii="Times New Roman" w:hAnsi="Times New Roman" w:cs="Times New Roman"/>
          <w:sz w:val="24"/>
          <w:szCs w:val="24"/>
          <w:lang w:val="en-US"/>
        </w:rPr>
        <w:t xml:space="preserve"> Russian – ЗАО АКБ "</w:t>
      </w:r>
      <w:proofErr w:type="spellStart"/>
      <w:r w:rsidRPr="00961E31">
        <w:rPr>
          <w:rFonts w:ascii="Times New Roman" w:hAnsi="Times New Roman" w:cs="Times New Roman"/>
          <w:sz w:val="24"/>
          <w:szCs w:val="24"/>
          <w:lang w:val="en-US"/>
        </w:rPr>
        <w:t>Национальный</w:t>
      </w:r>
      <w:proofErr w:type="spellEnd"/>
      <w:r w:rsidRPr="00961E31">
        <w:rPr>
          <w:rFonts w:ascii="Times New Roman" w:hAnsi="Times New Roman" w:cs="Times New Roman"/>
          <w:sz w:val="24"/>
          <w:szCs w:val="24"/>
          <w:lang w:val="en-US"/>
        </w:rPr>
        <w:t xml:space="preserve"> </w:t>
      </w:r>
      <w:proofErr w:type="spellStart"/>
      <w:r w:rsidRPr="00961E31">
        <w:rPr>
          <w:rFonts w:ascii="Times New Roman" w:hAnsi="Times New Roman" w:cs="Times New Roman"/>
          <w:sz w:val="24"/>
          <w:szCs w:val="24"/>
          <w:lang w:val="en-US"/>
        </w:rPr>
        <w:t>Клиринговый</w:t>
      </w:r>
      <w:proofErr w:type="spellEnd"/>
      <w:r w:rsidRPr="00961E31">
        <w:rPr>
          <w:rFonts w:ascii="Times New Roman" w:hAnsi="Times New Roman" w:cs="Times New Roman"/>
          <w:sz w:val="24"/>
          <w:szCs w:val="24"/>
          <w:lang w:val="en-US"/>
        </w:rPr>
        <w:t xml:space="preserve"> </w:t>
      </w:r>
      <w:proofErr w:type="spellStart"/>
      <w:r w:rsidRPr="00961E31">
        <w:rPr>
          <w:rFonts w:ascii="Times New Roman" w:hAnsi="Times New Roman" w:cs="Times New Roman"/>
          <w:sz w:val="24"/>
          <w:szCs w:val="24"/>
          <w:lang w:val="en-US"/>
        </w:rPr>
        <w:t>Центр</w:t>
      </w:r>
      <w:proofErr w:type="spellEnd"/>
      <w:r w:rsidRPr="00961E31">
        <w:rPr>
          <w:rFonts w:ascii="Times New Roman" w:hAnsi="Times New Roman" w:cs="Times New Roman"/>
          <w:sz w:val="24"/>
          <w:szCs w:val="24"/>
          <w:lang w:val="en-US"/>
        </w:rPr>
        <w:t>" (ZAO AKB "</w:t>
      </w:r>
      <w:proofErr w:type="spellStart"/>
      <w:r w:rsidRPr="00961E31">
        <w:rPr>
          <w:rFonts w:ascii="Times New Roman" w:hAnsi="Times New Roman" w:cs="Times New Roman"/>
          <w:sz w:val="24"/>
          <w:szCs w:val="24"/>
          <w:lang w:val="en-US"/>
        </w:rPr>
        <w:t>Natsionalnyi</w:t>
      </w:r>
      <w:proofErr w:type="spellEnd"/>
      <w:r w:rsidRPr="00961E31">
        <w:rPr>
          <w:rFonts w:ascii="Times New Roman" w:hAnsi="Times New Roman" w:cs="Times New Roman"/>
          <w:sz w:val="24"/>
          <w:szCs w:val="24"/>
          <w:lang w:val="en-US"/>
        </w:rPr>
        <w:t xml:space="preserve"> </w:t>
      </w:r>
      <w:proofErr w:type="spellStart"/>
      <w:r w:rsidRPr="00961E31">
        <w:rPr>
          <w:rFonts w:ascii="Times New Roman" w:hAnsi="Times New Roman" w:cs="Times New Roman"/>
          <w:sz w:val="24"/>
          <w:szCs w:val="24"/>
          <w:lang w:val="en-US"/>
        </w:rPr>
        <w:t>Kliringovyi</w:t>
      </w:r>
      <w:proofErr w:type="spellEnd"/>
      <w:r w:rsidRPr="00961E31">
        <w:rPr>
          <w:rFonts w:ascii="Times New Roman" w:hAnsi="Times New Roman" w:cs="Times New Roman"/>
          <w:sz w:val="24"/>
          <w:szCs w:val="24"/>
          <w:lang w:val="en-US"/>
        </w:rPr>
        <w:t xml:space="preserve"> </w:t>
      </w:r>
      <w:proofErr w:type="spellStart"/>
      <w:r w:rsidRPr="00961E31">
        <w:rPr>
          <w:rFonts w:ascii="Times New Roman" w:hAnsi="Times New Roman" w:cs="Times New Roman"/>
          <w:sz w:val="24"/>
          <w:szCs w:val="24"/>
          <w:lang w:val="en-US"/>
        </w:rPr>
        <w:t>Tsentr</w:t>
      </w:r>
      <w:proofErr w:type="spellEnd"/>
      <w:r w:rsidRPr="00961E31">
        <w:rPr>
          <w:rFonts w:ascii="Times New Roman" w:hAnsi="Times New Roman" w:cs="Times New Roman"/>
          <w:sz w:val="24"/>
          <w:szCs w:val="24"/>
          <w:lang w:val="en-US"/>
        </w:rPr>
        <w:t>", CJSC JSCB National Clearing Centre).</w:t>
      </w:r>
    </w:p>
    <w:p w:rsidR="00961E31" w:rsidRPr="00961E31" w:rsidRDefault="00961E31" w:rsidP="00961E31">
      <w:pPr>
        <w:widowControl w:val="0"/>
        <w:overflowPunct w:val="0"/>
        <w:autoSpaceDE w:val="0"/>
        <w:autoSpaceDN w:val="0"/>
        <w:adjustRightInd w:val="0"/>
        <w:spacing w:after="120" w:line="240" w:lineRule="auto"/>
        <w:ind w:firstLine="360"/>
        <w:jc w:val="both"/>
        <w:textAlignment w:val="baseline"/>
        <w:rPr>
          <w:rFonts w:ascii="Times New Roman" w:eastAsia="Times New Roman" w:hAnsi="Times New Roman" w:cs="Times New Roman"/>
          <w:sz w:val="24"/>
          <w:szCs w:val="24"/>
          <w:lang w:val="en-US"/>
        </w:rPr>
      </w:pPr>
    </w:p>
    <w:p w:rsidR="00961E31" w:rsidRPr="00961E31" w:rsidRDefault="00961E31" w:rsidP="00961E31">
      <w:pPr>
        <w:widowControl w:val="0"/>
        <w:overflowPunct w:val="0"/>
        <w:autoSpaceDE w:val="0"/>
        <w:autoSpaceDN w:val="0"/>
        <w:adjustRightInd w:val="0"/>
        <w:spacing w:before="100" w:after="120" w:line="240" w:lineRule="auto"/>
        <w:jc w:val="center"/>
        <w:textAlignment w:val="baseline"/>
        <w:rPr>
          <w:rFonts w:ascii="Times New Roman" w:eastAsia="Times New Roman" w:hAnsi="Times New Roman" w:cs="Times New Roman"/>
          <w:b/>
          <w:sz w:val="24"/>
          <w:szCs w:val="24"/>
          <w:lang w:val="en-US"/>
        </w:rPr>
      </w:pPr>
      <w:r w:rsidRPr="00961E31">
        <w:rPr>
          <w:rFonts w:ascii="Times New Roman" w:hAnsi="Times New Roman" w:cs="Times New Roman"/>
          <w:b/>
          <w:sz w:val="24"/>
          <w:szCs w:val="24"/>
          <w:lang w:val="en-US"/>
        </w:rPr>
        <w:t>Place of business:</w:t>
      </w:r>
    </w:p>
    <w:p w:rsidR="00961E31" w:rsidRPr="00961E31" w:rsidRDefault="00961E31" w:rsidP="00961E31">
      <w:pPr>
        <w:widowControl w:val="0"/>
        <w:overflowPunct w:val="0"/>
        <w:autoSpaceDE w:val="0"/>
        <w:autoSpaceDN w:val="0"/>
        <w:adjustRightInd w:val="0"/>
        <w:spacing w:after="120" w:line="240" w:lineRule="auto"/>
        <w:ind w:firstLine="360"/>
        <w:jc w:val="both"/>
        <w:textAlignment w:val="baseline"/>
        <w:rPr>
          <w:rFonts w:ascii="Times New Roman" w:eastAsia="Times New Roman" w:hAnsi="Times New Roman" w:cs="Times New Roman"/>
          <w:sz w:val="24"/>
          <w:szCs w:val="24"/>
          <w:lang w:val="en-US"/>
        </w:rPr>
      </w:pPr>
      <w:r w:rsidRPr="00961E31">
        <w:rPr>
          <w:rFonts w:ascii="Times New Roman" w:hAnsi="Times New Roman" w:cs="Times New Roman"/>
          <w:sz w:val="24"/>
          <w:szCs w:val="24"/>
          <w:lang w:val="en-US"/>
        </w:rPr>
        <w:t xml:space="preserve">13 </w:t>
      </w:r>
      <w:proofErr w:type="spellStart"/>
      <w:r w:rsidRPr="00961E31">
        <w:rPr>
          <w:rFonts w:ascii="Times New Roman" w:hAnsi="Times New Roman" w:cs="Times New Roman"/>
          <w:sz w:val="24"/>
          <w:szCs w:val="24"/>
          <w:lang w:val="en-US"/>
        </w:rPr>
        <w:t>Bolshoy</w:t>
      </w:r>
      <w:proofErr w:type="spellEnd"/>
      <w:r w:rsidRPr="00961E31">
        <w:rPr>
          <w:rFonts w:ascii="Times New Roman" w:hAnsi="Times New Roman" w:cs="Times New Roman"/>
          <w:sz w:val="24"/>
          <w:szCs w:val="24"/>
          <w:lang w:val="en-US"/>
        </w:rPr>
        <w:t xml:space="preserve"> </w:t>
      </w:r>
      <w:proofErr w:type="spellStart"/>
      <w:r w:rsidRPr="00961E31">
        <w:rPr>
          <w:rFonts w:ascii="Times New Roman" w:hAnsi="Times New Roman" w:cs="Times New Roman"/>
          <w:sz w:val="24"/>
          <w:szCs w:val="24"/>
          <w:lang w:val="en-US"/>
        </w:rPr>
        <w:t>Kislovsky</w:t>
      </w:r>
      <w:proofErr w:type="spellEnd"/>
      <w:r w:rsidRPr="00961E31">
        <w:rPr>
          <w:rFonts w:ascii="Times New Roman" w:hAnsi="Times New Roman" w:cs="Times New Roman"/>
          <w:sz w:val="24"/>
          <w:szCs w:val="24"/>
          <w:lang w:val="en-US"/>
        </w:rPr>
        <w:t xml:space="preserve"> </w:t>
      </w:r>
      <w:proofErr w:type="spellStart"/>
      <w:r w:rsidRPr="00961E31">
        <w:rPr>
          <w:rFonts w:ascii="Times New Roman" w:hAnsi="Times New Roman" w:cs="Times New Roman"/>
          <w:sz w:val="24"/>
          <w:szCs w:val="24"/>
          <w:lang w:val="en-US"/>
        </w:rPr>
        <w:t>Pereulok</w:t>
      </w:r>
      <w:proofErr w:type="spellEnd"/>
      <w:r w:rsidRPr="00961E31">
        <w:rPr>
          <w:rFonts w:ascii="Times New Roman" w:hAnsi="Times New Roman" w:cs="Times New Roman"/>
          <w:sz w:val="24"/>
          <w:szCs w:val="24"/>
          <w:lang w:val="en-US"/>
        </w:rPr>
        <w:t>, Moscow</w:t>
      </w:r>
    </w:p>
    <w:p w:rsidR="00961E31" w:rsidRPr="00961E31" w:rsidRDefault="00961E31" w:rsidP="00961E31">
      <w:pPr>
        <w:spacing w:after="120" w:line="240" w:lineRule="auto"/>
        <w:ind w:firstLine="360"/>
        <w:jc w:val="both"/>
        <w:rPr>
          <w:rFonts w:ascii="Times New Roman" w:eastAsiaTheme="minorEastAsia" w:hAnsi="Times New Roman" w:cs="Times New Roman"/>
          <w:sz w:val="24"/>
          <w:szCs w:val="24"/>
          <w:lang w:val="en-US"/>
        </w:rPr>
      </w:pPr>
    </w:p>
    <w:p w:rsidR="00961E31" w:rsidRPr="00961E31" w:rsidRDefault="00961E31" w:rsidP="00961E31">
      <w:pPr>
        <w:widowControl w:val="0"/>
        <w:overflowPunct w:val="0"/>
        <w:autoSpaceDE w:val="0"/>
        <w:autoSpaceDN w:val="0"/>
        <w:adjustRightInd w:val="0"/>
        <w:spacing w:before="100" w:after="120" w:line="240" w:lineRule="auto"/>
        <w:jc w:val="center"/>
        <w:textAlignment w:val="baseline"/>
        <w:rPr>
          <w:rFonts w:ascii="Times New Roman" w:eastAsia="Times New Roman" w:hAnsi="Times New Roman" w:cs="Times New Roman"/>
          <w:b/>
          <w:sz w:val="24"/>
          <w:szCs w:val="24"/>
          <w:lang w:val="en-US"/>
        </w:rPr>
      </w:pPr>
      <w:r w:rsidRPr="00961E31">
        <w:rPr>
          <w:rFonts w:ascii="Times New Roman" w:hAnsi="Times New Roman" w:cs="Times New Roman"/>
          <w:b/>
          <w:sz w:val="24"/>
          <w:szCs w:val="24"/>
          <w:lang w:val="en-US"/>
        </w:rPr>
        <w:t>Mailing address:</w:t>
      </w:r>
    </w:p>
    <w:p w:rsidR="00961E31" w:rsidRPr="00961E31" w:rsidRDefault="00961E31" w:rsidP="00961E31">
      <w:pPr>
        <w:widowControl w:val="0"/>
        <w:overflowPunct w:val="0"/>
        <w:autoSpaceDE w:val="0"/>
        <w:autoSpaceDN w:val="0"/>
        <w:adjustRightInd w:val="0"/>
        <w:spacing w:after="120" w:line="240" w:lineRule="auto"/>
        <w:ind w:firstLine="360"/>
        <w:jc w:val="both"/>
        <w:textAlignment w:val="baseline"/>
        <w:rPr>
          <w:rFonts w:ascii="Times New Roman" w:eastAsia="Times New Roman" w:hAnsi="Times New Roman" w:cs="Times New Roman"/>
          <w:sz w:val="24"/>
          <w:szCs w:val="24"/>
          <w:lang w:val="en-US"/>
        </w:rPr>
      </w:pPr>
      <w:r w:rsidRPr="00961E31">
        <w:rPr>
          <w:rFonts w:ascii="Times New Roman" w:hAnsi="Times New Roman" w:cs="Times New Roman"/>
          <w:sz w:val="24"/>
          <w:szCs w:val="24"/>
          <w:lang w:val="en-US"/>
        </w:rPr>
        <w:t xml:space="preserve">13 </w:t>
      </w:r>
      <w:proofErr w:type="spellStart"/>
      <w:r w:rsidRPr="00961E31">
        <w:rPr>
          <w:rFonts w:ascii="Times New Roman" w:hAnsi="Times New Roman" w:cs="Times New Roman"/>
          <w:sz w:val="24"/>
          <w:szCs w:val="24"/>
          <w:lang w:val="en-US"/>
        </w:rPr>
        <w:t>Bolshoy</w:t>
      </w:r>
      <w:proofErr w:type="spellEnd"/>
      <w:r w:rsidRPr="00961E31">
        <w:rPr>
          <w:rFonts w:ascii="Times New Roman" w:hAnsi="Times New Roman" w:cs="Times New Roman"/>
          <w:sz w:val="24"/>
          <w:szCs w:val="24"/>
          <w:lang w:val="en-US"/>
        </w:rPr>
        <w:t xml:space="preserve"> </w:t>
      </w:r>
      <w:proofErr w:type="spellStart"/>
      <w:r w:rsidRPr="00961E31">
        <w:rPr>
          <w:rFonts w:ascii="Times New Roman" w:hAnsi="Times New Roman" w:cs="Times New Roman"/>
          <w:sz w:val="24"/>
          <w:szCs w:val="24"/>
          <w:lang w:val="en-US"/>
        </w:rPr>
        <w:t>Kislovsky</w:t>
      </w:r>
      <w:proofErr w:type="spellEnd"/>
      <w:r w:rsidRPr="00961E31">
        <w:rPr>
          <w:rFonts w:ascii="Times New Roman" w:hAnsi="Times New Roman" w:cs="Times New Roman"/>
          <w:sz w:val="24"/>
          <w:szCs w:val="24"/>
          <w:lang w:val="en-US"/>
        </w:rPr>
        <w:t xml:space="preserve"> </w:t>
      </w:r>
      <w:proofErr w:type="spellStart"/>
      <w:r w:rsidRPr="00961E31">
        <w:rPr>
          <w:rFonts w:ascii="Times New Roman" w:hAnsi="Times New Roman" w:cs="Times New Roman"/>
          <w:sz w:val="24"/>
          <w:szCs w:val="24"/>
          <w:lang w:val="en-US"/>
        </w:rPr>
        <w:t>Pereulok</w:t>
      </w:r>
      <w:proofErr w:type="spellEnd"/>
      <w:r w:rsidRPr="00961E31">
        <w:rPr>
          <w:rFonts w:ascii="Times New Roman" w:hAnsi="Times New Roman" w:cs="Times New Roman"/>
          <w:sz w:val="24"/>
          <w:szCs w:val="24"/>
          <w:lang w:val="en-US"/>
        </w:rPr>
        <w:t>, Moscow, 125009</w:t>
      </w:r>
    </w:p>
    <w:p w:rsidR="00961E31" w:rsidRPr="00961E31" w:rsidRDefault="00961E31" w:rsidP="00961E31">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val="en-US"/>
        </w:rPr>
      </w:pPr>
    </w:p>
    <w:p w:rsidR="00961E31" w:rsidRPr="00961E31" w:rsidRDefault="00961E31" w:rsidP="00961E31">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rPr>
      </w:pPr>
      <w:r w:rsidRPr="00961E31">
        <w:rPr>
          <w:rFonts w:ascii="Times New Roman" w:hAnsi="Times New Roman" w:cs="Times New Roman"/>
          <w:sz w:val="24"/>
          <w:szCs w:val="24"/>
          <w:lang w:val="en-US"/>
        </w:rPr>
        <w:t>In the reporting period, pursuant to the resolution of the Executive Board of CJSC JSCB National Clearing Centre, the following interior divisions were operating:</w:t>
      </w:r>
    </w:p>
    <w:p w:rsidR="00961E31" w:rsidRPr="00961E31" w:rsidRDefault="00961E31" w:rsidP="00472CA4">
      <w:pPr>
        <w:widowControl w:val="0"/>
        <w:numPr>
          <w:ilvl w:val="0"/>
          <w:numId w:val="34"/>
        </w:numPr>
        <w:overflowPunct w:val="0"/>
        <w:autoSpaceDE w:val="0"/>
        <w:autoSpaceDN w:val="0"/>
        <w:adjustRightInd w:val="0"/>
        <w:spacing w:after="120" w:line="240" w:lineRule="auto"/>
        <w:ind w:left="993"/>
        <w:contextualSpacing/>
        <w:jc w:val="both"/>
        <w:textAlignment w:val="baseline"/>
        <w:rPr>
          <w:rFonts w:ascii="Times New Roman" w:eastAsia="Times New Roman" w:hAnsi="Times New Roman" w:cs="Times New Roman"/>
          <w:sz w:val="24"/>
          <w:szCs w:val="24"/>
          <w:lang w:val="en-US"/>
        </w:rPr>
      </w:pPr>
      <w:r w:rsidRPr="00961E31">
        <w:rPr>
          <w:rFonts w:ascii="Times New Roman" w:eastAsia="Calibri" w:hAnsi="Times New Roman" w:cs="Times New Roman"/>
          <w:sz w:val="24"/>
          <w:szCs w:val="24"/>
          <w:lang w:val="en-US"/>
        </w:rPr>
        <w:t>"</w:t>
      </w:r>
      <w:proofErr w:type="spellStart"/>
      <w:r w:rsidRPr="00961E31">
        <w:rPr>
          <w:rFonts w:ascii="Times New Roman" w:eastAsia="Calibri" w:hAnsi="Times New Roman" w:cs="Times New Roman"/>
          <w:sz w:val="24"/>
          <w:szCs w:val="24"/>
          <w:lang w:val="en-US"/>
        </w:rPr>
        <w:t>Sredny</w:t>
      </w:r>
      <w:proofErr w:type="spellEnd"/>
      <w:r w:rsidRPr="00961E31">
        <w:rPr>
          <w:rFonts w:ascii="Times New Roman" w:eastAsia="Calibri" w:hAnsi="Times New Roman" w:cs="Times New Roman"/>
          <w:sz w:val="24"/>
          <w:szCs w:val="24"/>
          <w:lang w:val="en-US"/>
        </w:rPr>
        <w:t xml:space="preserve"> </w:t>
      </w:r>
      <w:proofErr w:type="spellStart"/>
      <w:r w:rsidRPr="00961E31">
        <w:rPr>
          <w:rFonts w:ascii="Times New Roman" w:eastAsia="Calibri" w:hAnsi="Times New Roman" w:cs="Times New Roman"/>
          <w:sz w:val="24"/>
          <w:szCs w:val="24"/>
          <w:lang w:val="en-US"/>
        </w:rPr>
        <w:t>Kislovsky</w:t>
      </w:r>
      <w:proofErr w:type="spellEnd"/>
      <w:r w:rsidRPr="00961E31">
        <w:rPr>
          <w:rFonts w:ascii="Times New Roman" w:eastAsia="Calibri" w:hAnsi="Times New Roman" w:cs="Times New Roman"/>
          <w:sz w:val="24"/>
          <w:szCs w:val="24"/>
          <w:lang w:val="en-US"/>
        </w:rPr>
        <w:t xml:space="preserve">" Additional Office, located: Bldg.8, 1/13 </w:t>
      </w:r>
      <w:proofErr w:type="spellStart"/>
      <w:r w:rsidRPr="00961E31">
        <w:rPr>
          <w:rFonts w:ascii="Times New Roman" w:eastAsia="Calibri" w:hAnsi="Times New Roman" w:cs="Times New Roman"/>
          <w:sz w:val="24"/>
          <w:szCs w:val="24"/>
          <w:lang w:val="en-US"/>
        </w:rPr>
        <w:t>Sredny</w:t>
      </w:r>
      <w:proofErr w:type="spellEnd"/>
      <w:r w:rsidRPr="00961E31">
        <w:rPr>
          <w:rFonts w:ascii="Times New Roman" w:eastAsia="Calibri" w:hAnsi="Times New Roman" w:cs="Times New Roman"/>
          <w:sz w:val="24"/>
          <w:szCs w:val="24"/>
          <w:lang w:val="en-US"/>
        </w:rPr>
        <w:t xml:space="preserve"> </w:t>
      </w:r>
      <w:proofErr w:type="spellStart"/>
      <w:r w:rsidRPr="00961E31">
        <w:rPr>
          <w:rFonts w:ascii="Times New Roman" w:eastAsia="Calibri" w:hAnsi="Times New Roman" w:cs="Times New Roman"/>
          <w:sz w:val="24"/>
          <w:szCs w:val="24"/>
          <w:lang w:val="en-US"/>
        </w:rPr>
        <w:t>Kislovsky</w:t>
      </w:r>
      <w:proofErr w:type="spellEnd"/>
      <w:r w:rsidRPr="00961E31">
        <w:rPr>
          <w:rFonts w:ascii="Times New Roman" w:eastAsia="Calibri" w:hAnsi="Times New Roman" w:cs="Times New Roman"/>
          <w:sz w:val="24"/>
          <w:szCs w:val="24"/>
          <w:lang w:val="en-US"/>
        </w:rPr>
        <w:t xml:space="preserve"> Lane, Moscow,</w:t>
      </w:r>
    </w:p>
    <w:p w:rsidR="00961E31" w:rsidRPr="00961E31" w:rsidRDefault="00961E31" w:rsidP="00472CA4">
      <w:pPr>
        <w:widowControl w:val="0"/>
        <w:numPr>
          <w:ilvl w:val="0"/>
          <w:numId w:val="34"/>
        </w:numPr>
        <w:overflowPunct w:val="0"/>
        <w:autoSpaceDE w:val="0"/>
        <w:autoSpaceDN w:val="0"/>
        <w:adjustRightInd w:val="0"/>
        <w:spacing w:after="120" w:line="240" w:lineRule="auto"/>
        <w:ind w:left="993"/>
        <w:contextualSpacing/>
        <w:jc w:val="both"/>
        <w:textAlignment w:val="baseline"/>
        <w:rPr>
          <w:rFonts w:ascii="Times New Roman" w:eastAsia="Times New Roman" w:hAnsi="Times New Roman" w:cs="Times New Roman"/>
          <w:sz w:val="24"/>
          <w:szCs w:val="24"/>
          <w:lang w:val="en-US"/>
        </w:rPr>
      </w:pPr>
      <w:r w:rsidRPr="00961E31">
        <w:rPr>
          <w:rFonts w:ascii="Times New Roman" w:eastAsia="Calibri" w:hAnsi="Times New Roman" w:cs="Times New Roman"/>
          <w:sz w:val="24"/>
          <w:szCs w:val="24"/>
          <w:lang w:val="en-US"/>
        </w:rPr>
        <w:t>"</w:t>
      </w:r>
      <w:proofErr w:type="spellStart"/>
      <w:r w:rsidRPr="00961E31">
        <w:rPr>
          <w:rFonts w:ascii="Times New Roman" w:eastAsia="Calibri" w:hAnsi="Times New Roman" w:cs="Times New Roman"/>
          <w:sz w:val="24"/>
          <w:szCs w:val="24"/>
          <w:lang w:val="en-US"/>
        </w:rPr>
        <w:t>Spartakovsky</w:t>
      </w:r>
      <w:proofErr w:type="spellEnd"/>
      <w:r w:rsidRPr="00961E31">
        <w:rPr>
          <w:rFonts w:ascii="Times New Roman" w:eastAsia="Calibri" w:hAnsi="Times New Roman" w:cs="Times New Roman"/>
          <w:sz w:val="24"/>
          <w:szCs w:val="24"/>
          <w:lang w:val="en-US"/>
        </w:rPr>
        <w:t xml:space="preserve">" Additional Office, located: 12 </w:t>
      </w:r>
      <w:proofErr w:type="spellStart"/>
      <w:r w:rsidRPr="00961E31">
        <w:rPr>
          <w:rFonts w:ascii="Times New Roman" w:eastAsia="Calibri" w:hAnsi="Times New Roman" w:cs="Times New Roman"/>
          <w:sz w:val="24"/>
          <w:szCs w:val="24"/>
          <w:lang w:val="en-US"/>
        </w:rPr>
        <w:t>Spartakovskaya</w:t>
      </w:r>
      <w:proofErr w:type="spellEnd"/>
      <w:r w:rsidRPr="00961E31">
        <w:rPr>
          <w:rFonts w:ascii="Times New Roman" w:eastAsia="Calibri" w:hAnsi="Times New Roman" w:cs="Times New Roman"/>
          <w:sz w:val="24"/>
          <w:szCs w:val="24"/>
          <w:lang w:val="en-US"/>
        </w:rPr>
        <w:t xml:space="preserve"> Street, Moscow,</w:t>
      </w:r>
    </w:p>
    <w:p w:rsidR="00961E31" w:rsidRPr="00961E31" w:rsidRDefault="00961E31" w:rsidP="00472CA4">
      <w:pPr>
        <w:widowControl w:val="0"/>
        <w:numPr>
          <w:ilvl w:val="0"/>
          <w:numId w:val="34"/>
        </w:numPr>
        <w:overflowPunct w:val="0"/>
        <w:autoSpaceDE w:val="0"/>
        <w:autoSpaceDN w:val="0"/>
        <w:adjustRightInd w:val="0"/>
        <w:spacing w:after="120" w:line="240" w:lineRule="auto"/>
        <w:ind w:left="993"/>
        <w:contextualSpacing/>
        <w:jc w:val="both"/>
        <w:textAlignment w:val="baseline"/>
        <w:rPr>
          <w:rFonts w:ascii="Times New Roman" w:eastAsia="Times New Roman" w:hAnsi="Times New Roman" w:cs="Times New Roman"/>
          <w:sz w:val="24"/>
          <w:szCs w:val="24"/>
          <w:lang w:val="en-US"/>
        </w:rPr>
      </w:pPr>
      <w:r w:rsidRPr="00961E31">
        <w:rPr>
          <w:rFonts w:ascii="Times New Roman" w:eastAsia="Calibri" w:hAnsi="Times New Roman" w:cs="Times New Roman"/>
          <w:sz w:val="24"/>
          <w:szCs w:val="24"/>
          <w:lang w:val="en-US"/>
        </w:rPr>
        <w:t>"</w:t>
      </w:r>
      <w:proofErr w:type="spellStart"/>
      <w:r w:rsidRPr="00961E31">
        <w:rPr>
          <w:rFonts w:ascii="Times New Roman" w:eastAsia="Calibri" w:hAnsi="Times New Roman" w:cs="Times New Roman"/>
          <w:sz w:val="24"/>
          <w:szCs w:val="24"/>
          <w:lang w:val="en-US"/>
        </w:rPr>
        <w:t>Vozdvizhenka</w:t>
      </w:r>
      <w:proofErr w:type="spellEnd"/>
      <w:r w:rsidRPr="00961E31">
        <w:rPr>
          <w:rFonts w:ascii="Times New Roman" w:eastAsia="Calibri" w:hAnsi="Times New Roman" w:cs="Times New Roman"/>
          <w:sz w:val="24"/>
          <w:szCs w:val="24"/>
          <w:lang w:val="en-US"/>
        </w:rPr>
        <w:t xml:space="preserve">" Additional Office, located: Bldg.1, 4/7 </w:t>
      </w:r>
      <w:proofErr w:type="spellStart"/>
      <w:r w:rsidRPr="00961E31">
        <w:rPr>
          <w:rFonts w:ascii="Times New Roman" w:eastAsia="Calibri" w:hAnsi="Times New Roman" w:cs="Times New Roman"/>
          <w:sz w:val="24"/>
          <w:szCs w:val="24"/>
          <w:lang w:val="en-US"/>
        </w:rPr>
        <w:t>Vozdvizhenka</w:t>
      </w:r>
      <w:proofErr w:type="spellEnd"/>
      <w:r w:rsidRPr="00961E31">
        <w:rPr>
          <w:rFonts w:ascii="Times New Roman" w:eastAsia="Calibri" w:hAnsi="Times New Roman" w:cs="Times New Roman"/>
          <w:sz w:val="24"/>
          <w:szCs w:val="24"/>
          <w:lang w:val="en-US"/>
        </w:rPr>
        <w:t xml:space="preserve"> Street, Moscow.</w:t>
      </w:r>
    </w:p>
    <w:p w:rsidR="00961E31" w:rsidRPr="00961E31" w:rsidRDefault="00961E31" w:rsidP="00961E31">
      <w:pPr>
        <w:spacing w:after="120" w:line="240" w:lineRule="auto"/>
        <w:ind w:firstLine="360"/>
        <w:jc w:val="both"/>
        <w:rPr>
          <w:rFonts w:ascii="Times New Roman" w:eastAsiaTheme="minorEastAsia" w:hAnsi="Times New Roman" w:cs="Times New Roman"/>
          <w:sz w:val="24"/>
          <w:szCs w:val="24"/>
          <w:lang w:val="en-US"/>
        </w:rPr>
      </w:pPr>
    </w:p>
    <w:p w:rsidR="00961E31" w:rsidRPr="00961E31" w:rsidRDefault="00961E31" w:rsidP="00961E31">
      <w:pPr>
        <w:widowControl w:val="0"/>
        <w:overflowPunct w:val="0"/>
        <w:autoSpaceDE w:val="0"/>
        <w:autoSpaceDN w:val="0"/>
        <w:adjustRightInd w:val="0"/>
        <w:spacing w:before="100" w:after="120" w:line="240" w:lineRule="auto"/>
        <w:jc w:val="center"/>
        <w:textAlignment w:val="baseline"/>
        <w:rPr>
          <w:rFonts w:ascii="Times New Roman" w:eastAsia="Times New Roman" w:hAnsi="Times New Roman" w:cs="Times New Roman"/>
          <w:b/>
          <w:sz w:val="24"/>
          <w:szCs w:val="24"/>
          <w:lang w:val="en-US"/>
        </w:rPr>
      </w:pPr>
      <w:r w:rsidRPr="00961E31">
        <w:rPr>
          <w:rFonts w:ascii="Times New Roman" w:hAnsi="Times New Roman" w:cs="Times New Roman"/>
          <w:b/>
          <w:sz w:val="24"/>
          <w:szCs w:val="24"/>
          <w:lang w:val="en-US"/>
        </w:rPr>
        <w:t>Management bodies</w:t>
      </w:r>
    </w:p>
    <w:p w:rsidR="00961E31" w:rsidRPr="00961E31" w:rsidRDefault="00961E31" w:rsidP="00961E31">
      <w:pPr>
        <w:widowControl w:val="0"/>
        <w:overflowPunct w:val="0"/>
        <w:autoSpaceDE w:val="0"/>
        <w:autoSpaceDN w:val="0"/>
        <w:adjustRightInd w:val="0"/>
        <w:spacing w:after="120" w:line="240" w:lineRule="auto"/>
        <w:ind w:firstLine="360"/>
        <w:jc w:val="both"/>
        <w:textAlignment w:val="baseline"/>
        <w:rPr>
          <w:rFonts w:ascii="Times New Roman" w:eastAsia="Times New Roman" w:hAnsi="Times New Roman" w:cs="Times New Roman"/>
          <w:sz w:val="24"/>
          <w:szCs w:val="24"/>
          <w:lang w:val="en-US"/>
        </w:rPr>
      </w:pPr>
      <w:r w:rsidRPr="00961E31">
        <w:rPr>
          <w:rFonts w:ascii="Times New Roman" w:hAnsi="Times New Roman" w:cs="Times New Roman"/>
          <w:sz w:val="24"/>
          <w:szCs w:val="24"/>
          <w:lang w:val="en-US"/>
        </w:rPr>
        <w:t>According to the Articles of the Association of CJSC JSCB National Clearing Centre, the management bodies are as follows:</w:t>
      </w:r>
    </w:p>
    <w:p w:rsidR="00961E31" w:rsidRPr="00961E31" w:rsidRDefault="00961E31" w:rsidP="00472CA4">
      <w:pPr>
        <w:widowControl w:val="0"/>
        <w:numPr>
          <w:ilvl w:val="0"/>
          <w:numId w:val="33"/>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val="en-US"/>
        </w:rPr>
      </w:pPr>
      <w:r w:rsidRPr="00961E31">
        <w:rPr>
          <w:rFonts w:ascii="Times New Roman" w:hAnsi="Times New Roman" w:cs="Times New Roman"/>
          <w:sz w:val="24"/>
          <w:szCs w:val="24"/>
          <w:lang w:val="en-US"/>
        </w:rPr>
        <w:t>General Shareholders Meeting – the supreme management body;</w:t>
      </w:r>
    </w:p>
    <w:p w:rsidR="00961E31" w:rsidRPr="00961E31" w:rsidRDefault="00961E31" w:rsidP="00472CA4">
      <w:pPr>
        <w:widowControl w:val="0"/>
        <w:numPr>
          <w:ilvl w:val="0"/>
          <w:numId w:val="33"/>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val="en-US"/>
        </w:rPr>
      </w:pPr>
      <w:r w:rsidRPr="00961E31">
        <w:rPr>
          <w:rFonts w:ascii="Times New Roman" w:hAnsi="Times New Roman" w:cs="Times New Roman"/>
          <w:sz w:val="24"/>
          <w:szCs w:val="24"/>
          <w:lang w:val="en-US"/>
        </w:rPr>
        <w:t>Supervisory Board – the management body performing overall administration of the Bank's activities; Supervisory Board members are elected by the General Shareholders Meeting until the next Annual General Shareholders Meeting;</w:t>
      </w:r>
    </w:p>
    <w:p w:rsidR="00961E31" w:rsidRPr="00961E31" w:rsidRDefault="00961E31" w:rsidP="00472CA4">
      <w:pPr>
        <w:widowControl w:val="0"/>
        <w:numPr>
          <w:ilvl w:val="0"/>
          <w:numId w:val="33"/>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val="en-US"/>
        </w:rPr>
      </w:pPr>
      <w:r w:rsidRPr="00961E31">
        <w:rPr>
          <w:rFonts w:ascii="Times New Roman" w:hAnsi="Times New Roman" w:cs="Times New Roman"/>
          <w:sz w:val="24"/>
          <w:szCs w:val="24"/>
          <w:lang w:val="en-US"/>
        </w:rPr>
        <w:t>Chairperson of the Board (</w:t>
      </w:r>
      <w:r w:rsidRPr="00961E31">
        <w:rPr>
          <w:rFonts w:ascii="Times New Roman" w:hAnsi="Times New Roman" w:cs="Times New Roman"/>
          <w:bCs/>
          <w:sz w:val="24"/>
          <w:lang w:val="en-US"/>
        </w:rPr>
        <w:t>Chief Executive Officer</w:t>
      </w:r>
      <w:r w:rsidRPr="00961E31">
        <w:rPr>
          <w:rFonts w:ascii="Times New Roman" w:hAnsi="Times New Roman" w:cs="Times New Roman"/>
          <w:sz w:val="24"/>
          <w:szCs w:val="24"/>
          <w:lang w:val="en-US"/>
        </w:rPr>
        <w:t xml:space="preserve">) – the management body in charge of the current NCC's operations, is elected by the General Meeting of Shareholders for the time period set by the shareholders, but no more than five years; </w:t>
      </w:r>
    </w:p>
    <w:p w:rsidR="00961E31" w:rsidRPr="00961E31" w:rsidRDefault="00961E31" w:rsidP="00472CA4">
      <w:pPr>
        <w:widowControl w:val="0"/>
        <w:numPr>
          <w:ilvl w:val="0"/>
          <w:numId w:val="33"/>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val="en-US"/>
        </w:rPr>
      </w:pPr>
      <w:proofErr w:type="gramStart"/>
      <w:r w:rsidRPr="00961E31">
        <w:rPr>
          <w:rFonts w:ascii="Times New Roman" w:hAnsi="Times New Roman" w:cs="Times New Roman"/>
          <w:sz w:val="24"/>
          <w:szCs w:val="24"/>
          <w:lang w:val="en-US"/>
        </w:rPr>
        <w:t>the</w:t>
      </w:r>
      <w:proofErr w:type="gramEnd"/>
      <w:r w:rsidRPr="00961E31">
        <w:rPr>
          <w:rFonts w:ascii="Times New Roman" w:hAnsi="Times New Roman" w:cs="Times New Roman"/>
          <w:sz w:val="24"/>
          <w:szCs w:val="24"/>
          <w:lang w:val="en-US"/>
        </w:rPr>
        <w:t xml:space="preserve"> Executive Board - (collective executive body) – management body in charge of the current NCC's operations; the board members are elected by the Supervisory Board; the term of each board member is set by the Supervisory Board but no more than five years.</w:t>
      </w:r>
    </w:p>
    <w:p w:rsidR="00961E31" w:rsidRPr="00961E31" w:rsidRDefault="00961E31" w:rsidP="00961E31">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val="en-US"/>
        </w:rPr>
      </w:pPr>
    </w:p>
    <w:p w:rsidR="00961E31" w:rsidRPr="00961E31" w:rsidRDefault="00961E31" w:rsidP="00961E31">
      <w:pPr>
        <w:widowControl w:val="0"/>
        <w:overflowPunct w:val="0"/>
        <w:autoSpaceDE w:val="0"/>
        <w:autoSpaceDN w:val="0"/>
        <w:adjustRightInd w:val="0"/>
        <w:spacing w:after="120" w:line="240" w:lineRule="auto"/>
        <w:ind w:firstLine="360"/>
        <w:jc w:val="both"/>
        <w:textAlignment w:val="baseline"/>
        <w:rPr>
          <w:rFonts w:ascii="Times New Roman" w:eastAsia="Times New Roman" w:hAnsi="Times New Roman" w:cs="Times New Roman"/>
          <w:sz w:val="24"/>
          <w:szCs w:val="24"/>
          <w:lang w:val="en-US"/>
        </w:rPr>
      </w:pPr>
      <w:r w:rsidRPr="00961E31">
        <w:rPr>
          <w:rFonts w:ascii="Times New Roman" w:hAnsi="Times New Roman" w:cs="Times New Roman"/>
          <w:sz w:val="24"/>
          <w:szCs w:val="24"/>
          <w:lang w:val="en-US"/>
        </w:rPr>
        <w:t xml:space="preserve">The independent auditor of CJSC JSCB National Clearing Centre for the year 2013 in accordance with the sole shareholder's resolution is CJSC Ernst &amp; Young </w:t>
      </w:r>
      <w:proofErr w:type="spellStart"/>
      <w:r w:rsidRPr="00961E31">
        <w:rPr>
          <w:rFonts w:ascii="Times New Roman" w:hAnsi="Times New Roman" w:cs="Times New Roman"/>
          <w:sz w:val="24"/>
          <w:szCs w:val="24"/>
          <w:lang w:val="en-US"/>
        </w:rPr>
        <w:t>Vneshaudit</w:t>
      </w:r>
      <w:proofErr w:type="spellEnd"/>
      <w:r w:rsidRPr="00961E31">
        <w:rPr>
          <w:rFonts w:ascii="Times New Roman" w:hAnsi="Times New Roman" w:cs="Times New Roman"/>
          <w:sz w:val="24"/>
          <w:szCs w:val="24"/>
          <w:lang w:val="en-US"/>
        </w:rPr>
        <w:t>.</w:t>
      </w:r>
    </w:p>
    <w:p w:rsidR="00961E31" w:rsidRPr="00961E31" w:rsidRDefault="00961E31" w:rsidP="00961E31">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val="en-US"/>
        </w:rPr>
      </w:pPr>
    </w:p>
    <w:p w:rsidR="00961E31" w:rsidRPr="00961E31" w:rsidRDefault="00961E31" w:rsidP="00961E31">
      <w:pPr>
        <w:spacing w:before="100" w:after="120" w:line="240" w:lineRule="auto"/>
        <w:jc w:val="center"/>
        <w:rPr>
          <w:rFonts w:ascii="Times New Roman" w:eastAsiaTheme="minorEastAsia" w:hAnsi="Times New Roman" w:cs="Times New Roman"/>
          <w:b/>
          <w:sz w:val="24"/>
          <w:szCs w:val="24"/>
          <w:lang w:val="en-US"/>
        </w:rPr>
      </w:pPr>
    </w:p>
    <w:p w:rsidR="00961E31" w:rsidRPr="00961E31" w:rsidRDefault="00961E31" w:rsidP="00961E31">
      <w:pPr>
        <w:keepNext/>
        <w:widowControl w:val="0"/>
        <w:overflowPunct w:val="0"/>
        <w:autoSpaceDE w:val="0"/>
        <w:autoSpaceDN w:val="0"/>
        <w:adjustRightInd w:val="0"/>
        <w:spacing w:before="100" w:after="240" w:line="240" w:lineRule="auto"/>
        <w:jc w:val="center"/>
        <w:textAlignment w:val="baseline"/>
        <w:outlineLvl w:val="0"/>
        <w:rPr>
          <w:rFonts w:ascii="Times New Roman" w:eastAsia="Times New Roman" w:hAnsi="Times New Roman" w:cs="Times New Roman"/>
          <w:b/>
          <w:bCs/>
          <w:kern w:val="32"/>
          <w:sz w:val="28"/>
          <w:szCs w:val="28"/>
          <w:lang w:val="en-US" w:eastAsia="ru-RU"/>
        </w:rPr>
      </w:pPr>
      <w:bookmarkStart w:id="2" w:name="_Toc391636095"/>
      <w:r>
        <w:rPr>
          <w:rFonts w:ascii="Times New Roman" w:eastAsia="Times New Roman" w:hAnsi="Times New Roman" w:cs="Times New Roman"/>
          <w:b/>
          <w:bCs/>
          <w:kern w:val="32"/>
          <w:sz w:val="28"/>
          <w:szCs w:val="28"/>
          <w:lang w:val="en-US" w:eastAsia="ru-RU"/>
        </w:rPr>
        <w:t xml:space="preserve">2. </w:t>
      </w:r>
      <w:r w:rsidRPr="00961E31">
        <w:rPr>
          <w:rFonts w:ascii="Times New Roman" w:eastAsia="Times New Roman" w:hAnsi="Times New Roman" w:cs="Times New Roman"/>
          <w:b/>
          <w:bCs/>
          <w:kern w:val="32"/>
          <w:sz w:val="28"/>
          <w:szCs w:val="28"/>
          <w:lang w:val="en-US" w:eastAsia="ru-RU"/>
        </w:rPr>
        <w:t>Authorized capital and shareholders' structure</w:t>
      </w:r>
      <w:bookmarkEnd w:id="2"/>
    </w:p>
    <w:p w:rsidR="00961E31" w:rsidRPr="00961E31" w:rsidRDefault="00961E31" w:rsidP="00961E31">
      <w:pPr>
        <w:spacing w:before="100" w:after="240" w:line="240" w:lineRule="auto"/>
        <w:jc w:val="center"/>
        <w:rPr>
          <w:rFonts w:ascii="Times New Roman" w:eastAsiaTheme="minorEastAsia" w:hAnsi="Times New Roman" w:cs="Times New Roman"/>
          <w:b/>
          <w:sz w:val="24"/>
          <w:szCs w:val="24"/>
          <w:lang w:val="en-US"/>
        </w:rPr>
      </w:pPr>
      <w:proofErr w:type="gramStart"/>
      <w:r w:rsidRPr="00961E31">
        <w:rPr>
          <w:rFonts w:ascii="Times New Roman" w:eastAsiaTheme="minorEastAsia" w:hAnsi="Times New Roman" w:cs="Times New Roman"/>
          <w:b/>
          <w:sz w:val="24"/>
          <w:szCs w:val="24"/>
          <w:lang w:val="en-US"/>
        </w:rPr>
        <w:t>Structure of the property.</w:t>
      </w:r>
      <w:proofErr w:type="gramEnd"/>
      <w:r w:rsidRPr="00961E31">
        <w:rPr>
          <w:rFonts w:ascii="Times New Roman" w:eastAsiaTheme="minorEastAsia" w:hAnsi="Times New Roman" w:cs="Times New Roman"/>
          <w:b/>
          <w:sz w:val="24"/>
          <w:szCs w:val="24"/>
          <w:lang w:val="en-US"/>
        </w:rPr>
        <w:t xml:space="preserve"> </w:t>
      </w:r>
      <w:proofErr w:type="gramStart"/>
      <w:r w:rsidRPr="00961E31">
        <w:rPr>
          <w:rFonts w:ascii="Times New Roman" w:eastAsiaTheme="minorEastAsia" w:hAnsi="Times New Roman" w:cs="Times New Roman"/>
          <w:b/>
          <w:sz w:val="24"/>
          <w:szCs w:val="24"/>
          <w:lang w:val="en-US"/>
        </w:rPr>
        <w:t>Authorized capital.</w:t>
      </w:r>
      <w:proofErr w:type="gramEnd"/>
    </w:p>
    <w:p w:rsidR="00961E31" w:rsidRPr="00961E31" w:rsidRDefault="00961E31" w:rsidP="00961E31">
      <w:pPr>
        <w:numPr>
          <w:ilvl w:val="12"/>
          <w:numId w:val="0"/>
        </w:numPr>
        <w:tabs>
          <w:tab w:val="left" w:pos="9639"/>
        </w:tabs>
        <w:overflowPunct w:val="0"/>
        <w:autoSpaceDE w:val="0"/>
        <w:autoSpaceDN w:val="0"/>
        <w:adjustRightInd w:val="0"/>
        <w:spacing w:after="120" w:line="240" w:lineRule="auto"/>
        <w:ind w:firstLine="567"/>
        <w:jc w:val="both"/>
        <w:textAlignment w:val="baseline"/>
        <w:rPr>
          <w:rFonts w:ascii="Times New Roman" w:hAnsi="Times New Roman" w:cs="Times New Roman"/>
          <w:sz w:val="24"/>
          <w:szCs w:val="24"/>
          <w:lang w:val="en-US"/>
        </w:rPr>
      </w:pPr>
      <w:r w:rsidRPr="00961E31">
        <w:rPr>
          <w:rFonts w:ascii="Times New Roman" w:hAnsi="Times New Roman" w:cs="Times New Roman"/>
          <w:sz w:val="24"/>
          <w:szCs w:val="24"/>
          <w:lang w:val="en-US"/>
        </w:rPr>
        <w:t xml:space="preserve">When CJSC JSCB National Clearing Centre was founded, the General Meeting of Founders approved the authorized capital of the Bank at 235,000 thousand </w:t>
      </w:r>
      <w:proofErr w:type="spellStart"/>
      <w:r w:rsidRPr="00961E31">
        <w:rPr>
          <w:rFonts w:ascii="Times New Roman" w:hAnsi="Times New Roman" w:cs="Times New Roman"/>
          <w:sz w:val="24"/>
          <w:szCs w:val="24"/>
          <w:lang w:val="en-US"/>
        </w:rPr>
        <w:t>roubles</w:t>
      </w:r>
      <w:proofErr w:type="spellEnd"/>
      <w:r w:rsidRPr="00961E31">
        <w:rPr>
          <w:rFonts w:ascii="Times New Roman" w:hAnsi="Times New Roman" w:cs="Times New Roman"/>
          <w:sz w:val="24"/>
          <w:szCs w:val="24"/>
          <w:lang w:val="en-US"/>
        </w:rPr>
        <w:t xml:space="preserve">, divided into 235,000 registered ordinary shares with the par value of 1,000 </w:t>
      </w:r>
      <w:proofErr w:type="spellStart"/>
      <w:r w:rsidRPr="00961E31">
        <w:rPr>
          <w:rFonts w:ascii="Times New Roman" w:hAnsi="Times New Roman" w:cs="Times New Roman"/>
          <w:sz w:val="24"/>
          <w:szCs w:val="24"/>
          <w:lang w:val="en-US"/>
        </w:rPr>
        <w:t>roubles</w:t>
      </w:r>
      <w:proofErr w:type="spellEnd"/>
      <w:r w:rsidRPr="00961E31">
        <w:rPr>
          <w:rFonts w:ascii="Times New Roman" w:hAnsi="Times New Roman" w:cs="Times New Roman"/>
          <w:sz w:val="24"/>
          <w:szCs w:val="24"/>
          <w:lang w:val="en-US"/>
        </w:rPr>
        <w:t xml:space="preserve"> each.</w:t>
      </w:r>
    </w:p>
    <w:p w:rsidR="00961E31" w:rsidRPr="00961E31" w:rsidRDefault="00961E31" w:rsidP="00961E31">
      <w:pPr>
        <w:spacing w:after="120" w:line="240" w:lineRule="auto"/>
        <w:ind w:firstLine="567"/>
        <w:jc w:val="both"/>
        <w:rPr>
          <w:rFonts w:ascii="Times New Roman" w:eastAsiaTheme="minorEastAsia" w:hAnsi="Times New Roman" w:cs="Times New Roman"/>
          <w:sz w:val="24"/>
          <w:szCs w:val="24"/>
          <w:vertAlign w:val="superscript"/>
          <w:lang w:val="en-US"/>
        </w:rPr>
      </w:pPr>
      <w:r w:rsidRPr="00961E31">
        <w:rPr>
          <w:rFonts w:ascii="Times New Roman" w:eastAsiaTheme="minorEastAsia" w:hAnsi="Times New Roman" w:cs="Times New Roman"/>
          <w:sz w:val="24"/>
          <w:szCs w:val="24"/>
          <w:lang w:val="en-US"/>
        </w:rPr>
        <w:t xml:space="preserve">During 2006-2012 the authorized capital of the Bank was increased from 235 million to 6.170 billion </w:t>
      </w:r>
      <w:proofErr w:type="spellStart"/>
      <w:r w:rsidRPr="00961E31">
        <w:rPr>
          <w:rFonts w:ascii="Times New Roman" w:eastAsiaTheme="minorEastAsia" w:hAnsi="Times New Roman" w:cs="Times New Roman"/>
          <w:sz w:val="24"/>
          <w:szCs w:val="24"/>
          <w:lang w:val="en-US"/>
        </w:rPr>
        <w:t>roubles</w:t>
      </w:r>
      <w:proofErr w:type="spellEnd"/>
      <w:r w:rsidRPr="00961E31">
        <w:rPr>
          <w:rFonts w:ascii="Times New Roman" w:eastAsiaTheme="minorEastAsia" w:hAnsi="Times New Roman" w:cs="Times New Roman"/>
          <w:sz w:val="24"/>
          <w:szCs w:val="24"/>
          <w:lang w:val="en-US"/>
        </w:rPr>
        <w:t xml:space="preserve"> via allocation of additional registered uncertified ordinary shares of CJSC JSCB National Clearing Centre.</w:t>
      </w:r>
    </w:p>
    <w:p w:rsidR="00961E31" w:rsidRPr="00961E31" w:rsidRDefault="00961E31" w:rsidP="00294DAE">
      <w:pPr>
        <w:spacing w:after="120" w:line="240" w:lineRule="auto"/>
        <w:ind w:firstLine="567"/>
        <w:jc w:val="both"/>
        <w:rPr>
          <w:rFonts w:ascii="Times New Roman" w:eastAsiaTheme="minorEastAsia" w:hAnsi="Times New Roman" w:cs="Times New Roman"/>
          <w:sz w:val="24"/>
          <w:szCs w:val="24"/>
          <w:lang w:val="en-US"/>
        </w:rPr>
      </w:pPr>
      <w:r w:rsidRPr="00961E31">
        <w:rPr>
          <w:rFonts w:ascii="Times New Roman" w:eastAsiaTheme="minorEastAsia" w:hAnsi="Times New Roman" w:cs="Times New Roman"/>
          <w:sz w:val="24"/>
          <w:szCs w:val="24"/>
          <w:lang w:val="en-US"/>
        </w:rPr>
        <w:t xml:space="preserve">In 2013 there was a significant rise of the Bank's capital (from 6.170 billion </w:t>
      </w:r>
      <w:proofErr w:type="spellStart"/>
      <w:r w:rsidRPr="00961E31">
        <w:rPr>
          <w:rFonts w:ascii="Times New Roman" w:eastAsiaTheme="minorEastAsia" w:hAnsi="Times New Roman" w:cs="Times New Roman"/>
          <w:sz w:val="24"/>
          <w:szCs w:val="24"/>
          <w:lang w:val="en-US"/>
        </w:rPr>
        <w:t>roubles</w:t>
      </w:r>
      <w:proofErr w:type="spellEnd"/>
      <w:r w:rsidRPr="00961E31">
        <w:rPr>
          <w:rFonts w:ascii="Times New Roman" w:eastAsiaTheme="minorEastAsia" w:hAnsi="Times New Roman" w:cs="Times New Roman"/>
          <w:sz w:val="24"/>
          <w:szCs w:val="24"/>
          <w:lang w:val="en-US"/>
        </w:rPr>
        <w:t xml:space="preserve"> to 15.7 billion </w:t>
      </w:r>
      <w:proofErr w:type="spellStart"/>
      <w:r w:rsidRPr="00961E31">
        <w:rPr>
          <w:rFonts w:ascii="Times New Roman" w:eastAsiaTheme="minorEastAsia" w:hAnsi="Times New Roman" w:cs="Times New Roman"/>
          <w:sz w:val="24"/>
          <w:szCs w:val="24"/>
          <w:lang w:val="en-US"/>
        </w:rPr>
        <w:t>roubles</w:t>
      </w:r>
      <w:proofErr w:type="spellEnd"/>
      <w:r w:rsidRPr="00961E31">
        <w:rPr>
          <w:rFonts w:ascii="Times New Roman" w:eastAsiaTheme="minorEastAsia" w:hAnsi="Times New Roman" w:cs="Times New Roman"/>
          <w:sz w:val="24"/>
          <w:szCs w:val="24"/>
          <w:lang w:val="en-US"/>
        </w:rPr>
        <w:t>). Therefore Moscow Exchange Group proved its commitment to the strategy of the Bank's capitalization increase as one of the main</w:t>
      </w:r>
      <w:r w:rsidR="0025144B">
        <w:rPr>
          <w:rFonts w:ascii="Times New Roman" w:eastAsiaTheme="minorEastAsia" w:hAnsi="Times New Roman" w:cs="Times New Roman"/>
          <w:sz w:val="24"/>
          <w:szCs w:val="24"/>
          <w:lang w:val="en-US"/>
        </w:rPr>
        <w:t xml:space="preserve"> too-big-to-fail</w:t>
      </w:r>
      <w:r w:rsidRPr="00961E31">
        <w:rPr>
          <w:rFonts w:ascii="Times New Roman" w:eastAsiaTheme="minorEastAsia" w:hAnsi="Times New Roman" w:cs="Times New Roman"/>
          <w:sz w:val="24"/>
          <w:szCs w:val="24"/>
          <w:lang w:val="en-US"/>
        </w:rPr>
        <w:t xml:space="preserve"> infrastructural organizations of the financial market to improve its reliability and to conform to new regulation requirements. </w:t>
      </w:r>
      <w:proofErr w:type="gramStart"/>
      <w:r w:rsidRPr="00961E31">
        <w:rPr>
          <w:rFonts w:ascii="Times New Roman" w:eastAsiaTheme="minorEastAsia" w:hAnsi="Times New Roman" w:cs="Times New Roman"/>
          <w:sz w:val="24"/>
          <w:szCs w:val="24"/>
          <w:lang w:val="en-US"/>
        </w:rPr>
        <w:t xml:space="preserve">These requirements </w:t>
      </w:r>
      <w:r w:rsidR="0025144B">
        <w:rPr>
          <w:rFonts w:ascii="Times New Roman" w:eastAsiaTheme="minorEastAsia" w:hAnsi="Times New Roman" w:cs="Times New Roman"/>
          <w:sz w:val="24"/>
          <w:szCs w:val="24"/>
          <w:lang w:val="en-US"/>
        </w:rPr>
        <w:t>are related with</w:t>
      </w:r>
      <w:r w:rsidRPr="00961E31">
        <w:rPr>
          <w:rFonts w:ascii="Times New Roman" w:eastAsiaTheme="minorEastAsia" w:hAnsi="Times New Roman" w:cs="Times New Roman"/>
          <w:sz w:val="24"/>
          <w:szCs w:val="24"/>
          <w:lang w:val="en-US"/>
        </w:rPr>
        <w:t xml:space="preserve"> </w:t>
      </w:r>
      <w:r w:rsidR="0025144B">
        <w:rPr>
          <w:rFonts w:ascii="Times New Roman" w:eastAsiaTheme="minorEastAsia" w:hAnsi="Times New Roman" w:cs="Times New Roman"/>
          <w:sz w:val="24"/>
          <w:szCs w:val="24"/>
          <w:lang w:val="en-US"/>
        </w:rPr>
        <w:t xml:space="preserve">the </w:t>
      </w:r>
      <w:r w:rsidRPr="00961E31">
        <w:rPr>
          <w:rFonts w:ascii="Times New Roman" w:eastAsiaTheme="minorEastAsia" w:hAnsi="Times New Roman" w:cs="Times New Roman"/>
          <w:sz w:val="24"/>
          <w:szCs w:val="24"/>
          <w:lang w:val="en-US"/>
        </w:rPr>
        <w:t>introduction of Basel III</w:t>
      </w:r>
      <w:r w:rsidR="0025144B">
        <w:rPr>
          <w:rFonts w:ascii="Times New Roman" w:eastAsiaTheme="minorEastAsia" w:hAnsi="Times New Roman" w:cs="Times New Roman"/>
          <w:sz w:val="24"/>
          <w:szCs w:val="24"/>
          <w:lang w:val="en-US"/>
        </w:rPr>
        <w:t xml:space="preserve"> and</w:t>
      </w:r>
      <w:r w:rsidRPr="00961E31">
        <w:rPr>
          <w:rFonts w:ascii="Times New Roman" w:eastAsiaTheme="minorEastAsia" w:hAnsi="Times New Roman" w:cs="Times New Roman"/>
          <w:sz w:val="24"/>
          <w:szCs w:val="24"/>
          <w:lang w:val="en-US"/>
        </w:rPr>
        <w:t xml:space="preserve"> the regulation of the Russian banking system as well as </w:t>
      </w:r>
      <w:r w:rsidR="0025144B">
        <w:rPr>
          <w:rFonts w:ascii="Times New Roman" w:eastAsiaTheme="minorEastAsia" w:hAnsi="Times New Roman" w:cs="Times New Roman"/>
          <w:sz w:val="24"/>
          <w:szCs w:val="24"/>
          <w:lang w:val="en-US"/>
        </w:rPr>
        <w:t xml:space="preserve">with the </w:t>
      </w:r>
      <w:r w:rsidR="00294DAE">
        <w:rPr>
          <w:rFonts w:ascii="Times New Roman" w:eastAsiaTheme="minorEastAsia" w:hAnsi="Times New Roman" w:cs="Times New Roman"/>
          <w:sz w:val="24"/>
          <w:szCs w:val="24"/>
          <w:lang w:val="en-US"/>
        </w:rPr>
        <w:t>Bank’ recognition</w:t>
      </w:r>
      <w:r w:rsidRPr="00961E31">
        <w:rPr>
          <w:rFonts w:ascii="Times New Roman" w:eastAsiaTheme="minorEastAsia" w:hAnsi="Times New Roman" w:cs="Times New Roman"/>
          <w:sz w:val="24"/>
          <w:szCs w:val="24"/>
          <w:lang w:val="en-US"/>
        </w:rPr>
        <w:t xml:space="preserve"> </w:t>
      </w:r>
      <w:r w:rsidR="00294DAE">
        <w:rPr>
          <w:rFonts w:ascii="Times New Roman" w:eastAsiaTheme="minorEastAsia" w:hAnsi="Times New Roman" w:cs="Times New Roman"/>
          <w:sz w:val="24"/>
          <w:szCs w:val="24"/>
          <w:lang w:val="en-US"/>
        </w:rPr>
        <w:t>by Bank of Russia</w:t>
      </w:r>
      <w:r w:rsidRPr="00961E31">
        <w:rPr>
          <w:rFonts w:ascii="Times New Roman" w:eastAsiaTheme="minorEastAsia" w:hAnsi="Times New Roman" w:cs="Times New Roman"/>
          <w:sz w:val="24"/>
          <w:szCs w:val="24"/>
          <w:lang w:val="en-US"/>
        </w:rPr>
        <w:t xml:space="preserve"> as a qual</w:t>
      </w:r>
      <w:r w:rsidR="0025144B">
        <w:rPr>
          <w:rFonts w:ascii="Times New Roman" w:eastAsiaTheme="minorEastAsia" w:hAnsi="Times New Roman" w:cs="Times New Roman"/>
          <w:sz w:val="24"/>
          <w:szCs w:val="24"/>
          <w:lang w:val="en-US"/>
        </w:rPr>
        <w:t>ifying</w:t>
      </w:r>
      <w:r w:rsidRPr="00961E31">
        <w:rPr>
          <w:rFonts w:ascii="Times New Roman" w:eastAsiaTheme="minorEastAsia" w:hAnsi="Times New Roman" w:cs="Times New Roman"/>
          <w:sz w:val="24"/>
          <w:szCs w:val="24"/>
          <w:lang w:val="en-US"/>
        </w:rPr>
        <w:t xml:space="preserve"> central cou</w:t>
      </w:r>
      <w:r w:rsidR="00294DAE">
        <w:rPr>
          <w:rFonts w:ascii="Times New Roman" w:eastAsiaTheme="minorEastAsia" w:hAnsi="Times New Roman" w:cs="Times New Roman"/>
          <w:sz w:val="24"/>
          <w:szCs w:val="24"/>
          <w:lang w:val="en-US"/>
        </w:rPr>
        <w:t>nterparty.</w:t>
      </w:r>
      <w:proofErr w:type="gramEnd"/>
      <w:r w:rsidR="00294DAE">
        <w:rPr>
          <w:rFonts w:ascii="Times New Roman" w:eastAsiaTheme="minorEastAsia" w:hAnsi="Times New Roman" w:cs="Times New Roman"/>
          <w:sz w:val="24"/>
          <w:szCs w:val="24"/>
          <w:lang w:val="en-US"/>
        </w:rPr>
        <w:t xml:space="preserve"> </w:t>
      </w:r>
      <w:r w:rsidR="00294DAE" w:rsidRPr="00961E31">
        <w:rPr>
          <w:rFonts w:ascii="Times New Roman" w:eastAsiaTheme="minorEastAsia" w:hAnsi="Times New Roman" w:cs="Times New Roman"/>
          <w:sz w:val="24"/>
          <w:szCs w:val="24"/>
          <w:lang w:val="en-US"/>
        </w:rPr>
        <w:t xml:space="preserve"> </w:t>
      </w:r>
    </w:p>
    <w:p w:rsidR="00961E31" w:rsidRPr="00961E31" w:rsidRDefault="00961E31" w:rsidP="00961E31">
      <w:pPr>
        <w:widowControl w:val="0"/>
        <w:overflowPunct w:val="0"/>
        <w:autoSpaceDE w:val="0"/>
        <w:autoSpaceDN w:val="0"/>
        <w:adjustRightInd w:val="0"/>
        <w:spacing w:before="100" w:after="240" w:line="240" w:lineRule="auto"/>
        <w:jc w:val="center"/>
        <w:textAlignment w:val="baseline"/>
        <w:rPr>
          <w:rFonts w:ascii="Times New Roman" w:eastAsia="Times New Roman" w:hAnsi="Times New Roman" w:cs="Times New Roman"/>
          <w:b/>
          <w:sz w:val="24"/>
          <w:szCs w:val="24"/>
          <w:lang w:val="en-US"/>
        </w:rPr>
      </w:pPr>
      <w:r w:rsidRPr="00961E31">
        <w:rPr>
          <w:rFonts w:ascii="Times New Roman" w:hAnsi="Times New Roman" w:cs="Times New Roman"/>
          <w:b/>
          <w:sz w:val="24"/>
          <w:szCs w:val="24"/>
          <w:lang w:val="en-US"/>
        </w:rPr>
        <w:t>Shareholder structure</w:t>
      </w:r>
    </w:p>
    <w:p w:rsidR="00961E31" w:rsidRPr="00961E31" w:rsidRDefault="00961E31" w:rsidP="00961E31">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rPr>
      </w:pPr>
      <w:r w:rsidRPr="00961E31">
        <w:rPr>
          <w:rFonts w:ascii="Times New Roman" w:hAnsi="Times New Roman" w:cs="Times New Roman"/>
          <w:sz w:val="24"/>
          <w:szCs w:val="24"/>
          <w:lang w:val="en-US"/>
        </w:rPr>
        <w:t>As of 31 December 2013, CJSC JSCB National Clearing Centre shareholders' register contained one entry – Open Joint-Stock Company «Moscow Exchange MICEX-RTS».</w:t>
      </w:r>
    </w:p>
    <w:p w:rsidR="00961E31" w:rsidRPr="00812E0F" w:rsidRDefault="00961E31" w:rsidP="00961E31">
      <w:pPr>
        <w:spacing w:after="120" w:line="240" w:lineRule="auto"/>
        <w:ind w:firstLine="567"/>
        <w:jc w:val="both"/>
        <w:rPr>
          <w:rFonts w:ascii="Times New Roman" w:eastAsiaTheme="minorEastAsia" w:hAnsi="Times New Roman" w:cs="Times New Roman"/>
          <w:sz w:val="24"/>
          <w:szCs w:val="24"/>
          <w:lang w:val="en-US"/>
        </w:rPr>
      </w:pPr>
      <w:r w:rsidRPr="00961E31">
        <w:rPr>
          <w:rFonts w:ascii="Times New Roman" w:eastAsiaTheme="minorEastAsia" w:hAnsi="Times New Roman" w:cs="Times New Roman"/>
          <w:sz w:val="24"/>
          <w:szCs w:val="24"/>
          <w:lang w:val="en-US"/>
        </w:rPr>
        <w:t>During the reporting period CJSC JSCB National Clearing Centre kept the Register of the Shareholders by its own.</w:t>
      </w:r>
    </w:p>
    <w:p w:rsidR="00812E0F" w:rsidRPr="00701C85" w:rsidRDefault="00812E0F" w:rsidP="00961E31">
      <w:pPr>
        <w:spacing w:after="120" w:line="240" w:lineRule="auto"/>
        <w:ind w:firstLine="567"/>
        <w:jc w:val="both"/>
        <w:rPr>
          <w:rFonts w:ascii="Times New Roman" w:eastAsiaTheme="minorEastAsia" w:hAnsi="Times New Roman" w:cs="Times New Roman"/>
          <w:sz w:val="24"/>
          <w:szCs w:val="24"/>
          <w:lang w:val="en-US"/>
        </w:rPr>
      </w:pPr>
    </w:p>
    <w:p w:rsidR="00812E0F" w:rsidRPr="007824DF" w:rsidRDefault="00812E0F" w:rsidP="00812E0F">
      <w:pPr>
        <w:keepNext/>
        <w:widowControl w:val="0"/>
        <w:overflowPunct w:val="0"/>
        <w:autoSpaceDE w:val="0"/>
        <w:autoSpaceDN w:val="0"/>
        <w:adjustRightInd w:val="0"/>
        <w:spacing w:before="100" w:after="120" w:line="240" w:lineRule="auto"/>
        <w:jc w:val="center"/>
        <w:textAlignment w:val="baseline"/>
        <w:outlineLvl w:val="0"/>
        <w:rPr>
          <w:rFonts w:ascii="Times New Roman" w:eastAsia="Times New Roman" w:hAnsi="Times New Roman" w:cs="Times New Roman"/>
          <w:b/>
          <w:bCs/>
          <w:kern w:val="32"/>
          <w:sz w:val="28"/>
          <w:szCs w:val="28"/>
          <w:lang w:val="en-US" w:eastAsia="ru-RU"/>
        </w:rPr>
      </w:pPr>
      <w:bookmarkStart w:id="3" w:name="_Toc391636096"/>
      <w:proofErr w:type="gramStart"/>
      <w:r w:rsidRPr="00812E0F">
        <w:rPr>
          <w:rFonts w:ascii="Times New Roman" w:eastAsia="Times New Roman" w:hAnsi="Times New Roman" w:cs="Times New Roman"/>
          <w:b/>
          <w:bCs/>
          <w:kern w:val="32"/>
          <w:sz w:val="28"/>
          <w:szCs w:val="28"/>
          <w:lang w:val="en-US" w:eastAsia="ru-RU"/>
        </w:rPr>
        <w:t>3.</w:t>
      </w:r>
      <w:r w:rsidR="00A83766">
        <w:rPr>
          <w:rFonts w:ascii="Times New Roman" w:eastAsia="Times New Roman" w:hAnsi="Times New Roman" w:cs="Times New Roman"/>
          <w:b/>
          <w:bCs/>
          <w:kern w:val="32"/>
          <w:sz w:val="28"/>
          <w:szCs w:val="28"/>
          <w:lang w:val="en-US" w:eastAsia="ru-RU"/>
        </w:rPr>
        <w:t>Industry</w:t>
      </w:r>
      <w:proofErr w:type="gramEnd"/>
      <w:r w:rsidR="00A83766">
        <w:rPr>
          <w:rFonts w:ascii="Times New Roman" w:eastAsia="Times New Roman" w:hAnsi="Times New Roman" w:cs="Times New Roman"/>
          <w:b/>
          <w:bCs/>
          <w:kern w:val="32"/>
          <w:sz w:val="28"/>
          <w:szCs w:val="28"/>
          <w:lang w:val="en-US" w:eastAsia="ru-RU"/>
        </w:rPr>
        <w:t xml:space="preserve"> position of </w:t>
      </w:r>
      <w:r w:rsidRPr="007824DF">
        <w:rPr>
          <w:rFonts w:ascii="Times New Roman" w:eastAsia="Times New Roman" w:hAnsi="Times New Roman" w:cs="Times New Roman"/>
          <w:b/>
          <w:bCs/>
          <w:kern w:val="32"/>
          <w:sz w:val="28"/>
          <w:szCs w:val="28"/>
          <w:lang w:val="en-US" w:eastAsia="ru-RU"/>
        </w:rPr>
        <w:t xml:space="preserve"> National Clearing Centre</w:t>
      </w:r>
      <w:bookmarkEnd w:id="3"/>
    </w:p>
    <w:p w:rsidR="00812E0F" w:rsidRPr="007824DF" w:rsidRDefault="00761416" w:rsidP="00812E0F">
      <w:pPr>
        <w:spacing w:after="120" w:line="240" w:lineRule="auto"/>
        <w:ind w:firstLine="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In 2013</w:t>
      </w:r>
      <w:r w:rsidR="00812E0F" w:rsidRPr="007824DF">
        <w:rPr>
          <w:rFonts w:ascii="Times New Roman" w:eastAsiaTheme="minorEastAsia" w:hAnsi="Times New Roman" w:cs="Times New Roman"/>
          <w:sz w:val="24"/>
          <w:szCs w:val="24"/>
          <w:lang w:val="en-US"/>
        </w:rPr>
        <w:t xml:space="preserve"> National Clearing Centre focused its efforts on business development: clearing services and central counterparty functionality in accordance with the strategy of products' line expansion implemented by Moscow Exchange Group and meeting demand</w:t>
      </w:r>
      <w:r w:rsidR="00812E0F">
        <w:rPr>
          <w:rFonts w:ascii="Times New Roman" w:eastAsiaTheme="minorEastAsia" w:hAnsi="Times New Roman" w:cs="Times New Roman"/>
          <w:sz w:val="24"/>
          <w:szCs w:val="24"/>
          <w:lang w:val="en-US"/>
        </w:rPr>
        <w:t>s</w:t>
      </w:r>
      <w:r w:rsidR="00812E0F" w:rsidRPr="007824DF">
        <w:rPr>
          <w:rFonts w:ascii="Times New Roman" w:eastAsiaTheme="minorEastAsia" w:hAnsi="Times New Roman" w:cs="Times New Roman"/>
          <w:sz w:val="24"/>
          <w:szCs w:val="24"/>
          <w:lang w:val="en-US"/>
        </w:rPr>
        <w:t xml:space="preserve"> of the exchange market services in order to ensure</w:t>
      </w:r>
      <w:r w:rsidR="00812E0F">
        <w:rPr>
          <w:rFonts w:ascii="Times New Roman" w:eastAsiaTheme="minorEastAsia" w:hAnsi="Times New Roman" w:cs="Times New Roman"/>
          <w:sz w:val="24"/>
          <w:szCs w:val="24"/>
          <w:lang w:val="en-US"/>
        </w:rPr>
        <w:t xml:space="preserve"> a</w:t>
      </w:r>
      <w:r w:rsidR="00812E0F" w:rsidRPr="007824DF">
        <w:rPr>
          <w:rFonts w:ascii="Times New Roman" w:eastAsiaTheme="minorEastAsia" w:hAnsi="Times New Roman" w:cs="Times New Roman"/>
          <w:sz w:val="24"/>
          <w:szCs w:val="24"/>
          <w:lang w:val="en-US"/>
        </w:rPr>
        <w:t xml:space="preserve"> sustain</w:t>
      </w:r>
      <w:r w:rsidR="00812E0F">
        <w:rPr>
          <w:rFonts w:ascii="Times New Roman" w:eastAsiaTheme="minorEastAsia" w:hAnsi="Times New Roman" w:cs="Times New Roman"/>
          <w:sz w:val="24"/>
          <w:szCs w:val="24"/>
          <w:lang w:val="en-US"/>
        </w:rPr>
        <w:t>able growth</w:t>
      </w:r>
      <w:r w:rsidR="00812E0F" w:rsidRPr="007824DF">
        <w:rPr>
          <w:rFonts w:ascii="Times New Roman" w:eastAsiaTheme="minorEastAsia" w:hAnsi="Times New Roman" w:cs="Times New Roman"/>
          <w:sz w:val="24"/>
          <w:szCs w:val="24"/>
          <w:lang w:val="en-US"/>
        </w:rPr>
        <w:t xml:space="preserve"> of business profitability of the Group. Based on </w:t>
      </w:r>
      <w:r w:rsidR="00812E0F">
        <w:rPr>
          <w:rFonts w:ascii="Times New Roman" w:eastAsiaTheme="minorEastAsia" w:hAnsi="Times New Roman" w:cs="Times New Roman"/>
          <w:sz w:val="24"/>
          <w:szCs w:val="24"/>
          <w:lang w:val="en-US"/>
        </w:rPr>
        <w:t xml:space="preserve">a </w:t>
      </w:r>
      <w:r w:rsidR="00812E0F" w:rsidRPr="007824DF">
        <w:rPr>
          <w:rFonts w:ascii="Times New Roman" w:eastAsiaTheme="minorEastAsia" w:hAnsi="Times New Roman" w:cs="Times New Roman"/>
          <w:sz w:val="24"/>
          <w:szCs w:val="24"/>
          <w:lang w:val="en-US"/>
        </w:rPr>
        <w:t xml:space="preserve">clear understanding of the </w:t>
      </w:r>
      <w:r w:rsidR="00812E0F">
        <w:rPr>
          <w:rFonts w:ascii="Times New Roman" w:eastAsiaTheme="minorEastAsia" w:hAnsi="Times New Roman" w:cs="Times New Roman"/>
          <w:sz w:val="24"/>
          <w:szCs w:val="24"/>
          <w:lang w:val="en-US"/>
        </w:rPr>
        <w:t xml:space="preserve">NCC </w:t>
      </w:r>
      <w:r w:rsidR="00812E0F" w:rsidRPr="007824DF">
        <w:rPr>
          <w:rFonts w:ascii="Times New Roman" w:eastAsiaTheme="minorEastAsia" w:hAnsi="Times New Roman" w:cs="Times New Roman"/>
          <w:sz w:val="24"/>
          <w:szCs w:val="24"/>
          <w:lang w:val="en-US"/>
        </w:rPr>
        <w:t>role in</w:t>
      </w:r>
      <w:r w:rsidR="00812E0F">
        <w:rPr>
          <w:rFonts w:ascii="Times New Roman" w:eastAsiaTheme="minorEastAsia" w:hAnsi="Times New Roman" w:cs="Times New Roman"/>
          <w:sz w:val="24"/>
          <w:szCs w:val="24"/>
          <w:lang w:val="en-US"/>
        </w:rPr>
        <w:t xml:space="preserve"> </w:t>
      </w:r>
      <w:r w:rsidR="00812E0F" w:rsidRPr="007824DF">
        <w:rPr>
          <w:rFonts w:ascii="Times New Roman" w:eastAsiaTheme="minorEastAsia" w:hAnsi="Times New Roman" w:cs="Times New Roman"/>
          <w:sz w:val="24"/>
          <w:szCs w:val="24"/>
          <w:lang w:val="en-US"/>
        </w:rPr>
        <w:t xml:space="preserve">solving </w:t>
      </w:r>
      <w:proofErr w:type="gramStart"/>
      <w:r w:rsidR="00812E0F" w:rsidRPr="007824DF">
        <w:rPr>
          <w:rFonts w:ascii="Times New Roman" w:eastAsiaTheme="minorEastAsia" w:hAnsi="Times New Roman" w:cs="Times New Roman"/>
          <w:sz w:val="24"/>
          <w:szCs w:val="24"/>
          <w:lang w:val="en-US"/>
        </w:rPr>
        <w:t xml:space="preserve">of </w:t>
      </w:r>
      <w:r w:rsidR="00812E0F">
        <w:rPr>
          <w:rFonts w:ascii="Times New Roman" w:eastAsiaTheme="minorEastAsia" w:hAnsi="Times New Roman" w:cs="Times New Roman"/>
          <w:sz w:val="24"/>
          <w:szCs w:val="24"/>
          <w:lang w:val="en-US"/>
        </w:rPr>
        <w:t xml:space="preserve"> the</w:t>
      </w:r>
      <w:proofErr w:type="gramEnd"/>
      <w:r w:rsidR="00812E0F">
        <w:rPr>
          <w:rFonts w:ascii="Times New Roman" w:eastAsiaTheme="minorEastAsia" w:hAnsi="Times New Roman" w:cs="Times New Roman"/>
          <w:sz w:val="24"/>
          <w:szCs w:val="24"/>
          <w:lang w:val="en-US"/>
        </w:rPr>
        <w:t xml:space="preserve"> Group’s </w:t>
      </w:r>
      <w:r w:rsidR="00812E0F" w:rsidRPr="007824DF">
        <w:rPr>
          <w:rFonts w:ascii="Times New Roman" w:eastAsiaTheme="minorEastAsia" w:hAnsi="Times New Roman" w:cs="Times New Roman"/>
          <w:sz w:val="24"/>
          <w:szCs w:val="24"/>
          <w:lang w:val="en-US"/>
        </w:rPr>
        <w:t xml:space="preserve">strategic goals, its main priority during the reporting period was </w:t>
      </w:r>
      <w:r w:rsidR="00812E0F">
        <w:rPr>
          <w:rFonts w:ascii="Times New Roman" w:eastAsiaTheme="minorEastAsia" w:hAnsi="Times New Roman" w:cs="Times New Roman"/>
          <w:sz w:val="24"/>
          <w:szCs w:val="24"/>
          <w:lang w:val="en-US"/>
        </w:rPr>
        <w:t xml:space="preserve">the </w:t>
      </w:r>
      <w:r w:rsidR="00812E0F" w:rsidRPr="007824DF">
        <w:rPr>
          <w:rFonts w:ascii="Times New Roman" w:eastAsiaTheme="minorEastAsia" w:hAnsi="Times New Roman" w:cs="Times New Roman"/>
          <w:sz w:val="24"/>
          <w:szCs w:val="24"/>
          <w:lang w:val="en-US"/>
        </w:rPr>
        <w:t>realization of projects and tasks aimed at achiev</w:t>
      </w:r>
      <w:r w:rsidR="00812E0F">
        <w:rPr>
          <w:rFonts w:ascii="Times New Roman" w:eastAsiaTheme="minorEastAsia" w:hAnsi="Times New Roman" w:cs="Times New Roman"/>
          <w:sz w:val="24"/>
          <w:szCs w:val="24"/>
          <w:lang w:val="en-US"/>
        </w:rPr>
        <w:t>ing</w:t>
      </w:r>
      <w:r w:rsidR="00812E0F" w:rsidRPr="007824DF">
        <w:rPr>
          <w:rFonts w:ascii="Times New Roman" w:eastAsiaTheme="minorEastAsia" w:hAnsi="Times New Roman" w:cs="Times New Roman"/>
          <w:sz w:val="24"/>
          <w:szCs w:val="24"/>
          <w:lang w:val="en-US"/>
        </w:rPr>
        <w:t xml:space="preserve">  a </w:t>
      </w:r>
      <w:r w:rsidR="00812E0F">
        <w:rPr>
          <w:rFonts w:ascii="Times New Roman" w:eastAsiaTheme="minorEastAsia" w:hAnsi="Times New Roman" w:cs="Times New Roman"/>
          <w:sz w:val="24"/>
          <w:szCs w:val="24"/>
          <w:lang w:val="en-US"/>
        </w:rPr>
        <w:t xml:space="preserve">quantitatively </w:t>
      </w:r>
      <w:r w:rsidR="00812E0F" w:rsidRPr="007824DF">
        <w:rPr>
          <w:rFonts w:ascii="Times New Roman" w:eastAsiaTheme="minorEastAsia" w:hAnsi="Times New Roman" w:cs="Times New Roman"/>
          <w:sz w:val="24"/>
          <w:szCs w:val="24"/>
          <w:lang w:val="en-US"/>
        </w:rPr>
        <w:t xml:space="preserve"> new level of all key aspects management of clearing activity and </w:t>
      </w:r>
      <w:r w:rsidR="00812E0F">
        <w:rPr>
          <w:rFonts w:ascii="Times New Roman" w:eastAsiaTheme="minorEastAsia" w:hAnsi="Times New Roman" w:cs="Times New Roman"/>
          <w:sz w:val="24"/>
          <w:szCs w:val="24"/>
          <w:lang w:val="en-US"/>
        </w:rPr>
        <w:t xml:space="preserve">the </w:t>
      </w:r>
      <w:r w:rsidR="00812E0F" w:rsidRPr="007824DF">
        <w:rPr>
          <w:rFonts w:ascii="Times New Roman" w:eastAsiaTheme="minorEastAsia" w:hAnsi="Times New Roman" w:cs="Times New Roman"/>
          <w:sz w:val="24"/>
          <w:szCs w:val="24"/>
          <w:lang w:val="en-US"/>
        </w:rPr>
        <w:t xml:space="preserve">activity of the </w:t>
      </w:r>
      <w:r w:rsidR="00812E0F">
        <w:rPr>
          <w:rFonts w:ascii="Times New Roman" w:eastAsiaTheme="minorEastAsia" w:hAnsi="Times New Roman" w:cs="Times New Roman"/>
          <w:sz w:val="24"/>
          <w:szCs w:val="24"/>
          <w:lang w:val="en-US"/>
        </w:rPr>
        <w:t>CCP</w:t>
      </w:r>
      <w:r w:rsidR="00812E0F" w:rsidRPr="007824DF">
        <w:rPr>
          <w:rFonts w:ascii="Times New Roman" w:eastAsiaTheme="minorEastAsia" w:hAnsi="Times New Roman" w:cs="Times New Roman"/>
          <w:sz w:val="24"/>
          <w:szCs w:val="24"/>
          <w:lang w:val="en-US"/>
        </w:rPr>
        <w:t xml:space="preserve"> which eventually ensures </w:t>
      </w:r>
      <w:r w:rsidR="00812E0F">
        <w:rPr>
          <w:rFonts w:ascii="Times New Roman" w:eastAsiaTheme="minorEastAsia" w:hAnsi="Times New Roman" w:cs="Times New Roman"/>
          <w:sz w:val="24"/>
          <w:szCs w:val="24"/>
          <w:lang w:val="en-US"/>
        </w:rPr>
        <w:t xml:space="preserve">the </w:t>
      </w:r>
      <w:r w:rsidR="00812E0F" w:rsidRPr="007824DF">
        <w:rPr>
          <w:rFonts w:ascii="Times New Roman" w:eastAsiaTheme="minorEastAsia" w:hAnsi="Times New Roman" w:cs="Times New Roman"/>
          <w:sz w:val="24"/>
          <w:szCs w:val="24"/>
          <w:lang w:val="en-US"/>
        </w:rPr>
        <w:t>realization of strategic business tasks of the Bank.</w:t>
      </w:r>
    </w:p>
    <w:p w:rsidR="00812E0F" w:rsidRPr="007824DF" w:rsidRDefault="00812E0F" w:rsidP="00812E0F">
      <w:pPr>
        <w:spacing w:after="120" w:line="240" w:lineRule="auto"/>
        <w:ind w:firstLine="567"/>
        <w:jc w:val="both"/>
        <w:rPr>
          <w:rFonts w:ascii="Times New Roman" w:eastAsiaTheme="minorEastAsia" w:hAnsi="Times New Roman" w:cs="Times New Roman"/>
          <w:sz w:val="24"/>
          <w:szCs w:val="24"/>
          <w:lang w:val="en-US"/>
        </w:rPr>
      </w:pPr>
      <w:r w:rsidRPr="007824DF">
        <w:rPr>
          <w:rFonts w:ascii="Times New Roman" w:eastAsiaTheme="minorEastAsia" w:hAnsi="Times New Roman" w:cs="Times New Roman"/>
          <w:sz w:val="24"/>
          <w:szCs w:val="24"/>
          <w:lang w:val="en-US"/>
        </w:rPr>
        <w:t>Implementation of the requirements defined by the status of a qualif</w:t>
      </w:r>
      <w:r>
        <w:rPr>
          <w:rFonts w:ascii="Times New Roman" w:eastAsiaTheme="minorEastAsia" w:hAnsi="Times New Roman" w:cs="Times New Roman"/>
          <w:sz w:val="24"/>
          <w:szCs w:val="24"/>
          <w:lang w:val="en-US"/>
        </w:rPr>
        <w:t>ying</w:t>
      </w:r>
      <w:r w:rsidRPr="007824DF">
        <w:rPr>
          <w:rFonts w:ascii="Times New Roman" w:eastAsiaTheme="minorEastAsia" w:hAnsi="Times New Roman" w:cs="Times New Roman"/>
          <w:sz w:val="24"/>
          <w:szCs w:val="24"/>
          <w:lang w:val="en-US"/>
        </w:rPr>
        <w:t xml:space="preserve"> central counterparty received by the Bank – the main project of NCC in 2013 – into the activity's practice was performed </w:t>
      </w:r>
      <w:r>
        <w:rPr>
          <w:rFonts w:ascii="Times New Roman" w:eastAsiaTheme="minorEastAsia" w:hAnsi="Times New Roman" w:cs="Times New Roman"/>
          <w:sz w:val="24"/>
          <w:szCs w:val="24"/>
          <w:lang w:val="en-US"/>
        </w:rPr>
        <w:t>amid</w:t>
      </w:r>
      <w:r w:rsidRPr="007824DF">
        <w:rPr>
          <w:rFonts w:ascii="Times New Roman" w:eastAsiaTheme="minorEastAsia" w:hAnsi="Times New Roman" w:cs="Times New Roman"/>
          <w:sz w:val="24"/>
          <w:szCs w:val="24"/>
          <w:lang w:val="en-US"/>
        </w:rPr>
        <w:t xml:space="preserve"> large scale changes in </w:t>
      </w:r>
      <w:r>
        <w:rPr>
          <w:rFonts w:ascii="Times New Roman" w:eastAsiaTheme="minorEastAsia" w:hAnsi="Times New Roman" w:cs="Times New Roman"/>
          <w:sz w:val="24"/>
          <w:szCs w:val="24"/>
          <w:lang w:val="en-US"/>
        </w:rPr>
        <w:t>a</w:t>
      </w:r>
      <w:r w:rsidRPr="007824DF">
        <w:rPr>
          <w:rFonts w:ascii="Times New Roman" w:eastAsiaTheme="minorEastAsia" w:hAnsi="Times New Roman" w:cs="Times New Roman"/>
          <w:sz w:val="24"/>
          <w:szCs w:val="24"/>
          <w:lang w:val="en-US"/>
        </w:rPr>
        <w:t xml:space="preserve"> regulat</w:t>
      </w:r>
      <w:r>
        <w:rPr>
          <w:rFonts w:ascii="Times New Roman" w:eastAsiaTheme="minorEastAsia" w:hAnsi="Times New Roman" w:cs="Times New Roman"/>
          <w:sz w:val="24"/>
          <w:szCs w:val="24"/>
          <w:lang w:val="en-US"/>
        </w:rPr>
        <w:t xml:space="preserve">ory environment. </w:t>
      </w:r>
      <w:r w:rsidRPr="007824DF">
        <w:rPr>
          <w:rFonts w:ascii="Times New Roman" w:eastAsiaTheme="minorEastAsia" w:hAnsi="Times New Roman" w:cs="Times New Roman"/>
          <w:sz w:val="24"/>
          <w:szCs w:val="24"/>
          <w:lang w:val="en-US"/>
        </w:rPr>
        <w:t xml:space="preserve">These changes were first of all </w:t>
      </w:r>
      <w:r>
        <w:rPr>
          <w:rFonts w:ascii="Times New Roman" w:eastAsiaTheme="minorEastAsia" w:hAnsi="Times New Roman" w:cs="Times New Roman"/>
          <w:sz w:val="24"/>
          <w:szCs w:val="24"/>
          <w:lang w:val="en-US"/>
        </w:rPr>
        <w:t>linked</w:t>
      </w:r>
      <w:r w:rsidRPr="007824DF">
        <w:rPr>
          <w:rFonts w:ascii="Times New Roman" w:eastAsiaTheme="minorEastAsia" w:hAnsi="Times New Roman" w:cs="Times New Roman"/>
          <w:sz w:val="24"/>
          <w:szCs w:val="24"/>
          <w:lang w:val="en-US"/>
        </w:rPr>
        <w:t xml:space="preserve"> with </w:t>
      </w:r>
      <w:r>
        <w:rPr>
          <w:rFonts w:ascii="Times New Roman" w:eastAsiaTheme="minorEastAsia" w:hAnsi="Times New Roman" w:cs="Times New Roman"/>
          <w:sz w:val="24"/>
          <w:szCs w:val="24"/>
          <w:lang w:val="en-US"/>
        </w:rPr>
        <w:t xml:space="preserve">the </w:t>
      </w:r>
      <w:r w:rsidRPr="007824DF">
        <w:rPr>
          <w:rFonts w:ascii="Times New Roman" w:eastAsiaTheme="minorEastAsia" w:hAnsi="Times New Roman" w:cs="Times New Roman"/>
          <w:sz w:val="24"/>
          <w:szCs w:val="24"/>
          <w:lang w:val="en-US"/>
        </w:rPr>
        <w:t>introduction of Bank of Russia regulatory acts aimed at realiz</w:t>
      </w:r>
      <w:r>
        <w:rPr>
          <w:rFonts w:ascii="Times New Roman" w:eastAsiaTheme="minorEastAsia" w:hAnsi="Times New Roman" w:cs="Times New Roman"/>
          <w:sz w:val="24"/>
          <w:szCs w:val="24"/>
          <w:lang w:val="en-US"/>
        </w:rPr>
        <w:t>ing</w:t>
      </w:r>
      <w:r w:rsidRPr="007824DF">
        <w:rPr>
          <w:rFonts w:ascii="Times New Roman" w:eastAsiaTheme="minorEastAsia" w:hAnsi="Times New Roman" w:cs="Times New Roman"/>
          <w:sz w:val="24"/>
          <w:szCs w:val="24"/>
          <w:lang w:val="en-US"/>
        </w:rPr>
        <w:t xml:space="preserve"> of Basel III requirements, develop</w:t>
      </w:r>
      <w:r>
        <w:rPr>
          <w:rFonts w:ascii="Times New Roman" w:eastAsiaTheme="minorEastAsia" w:hAnsi="Times New Roman" w:cs="Times New Roman"/>
          <w:sz w:val="24"/>
          <w:szCs w:val="24"/>
          <w:lang w:val="en-US"/>
        </w:rPr>
        <w:t>ing</w:t>
      </w:r>
      <w:r w:rsidRPr="007824DF">
        <w:rPr>
          <w:rFonts w:ascii="Times New Roman" w:eastAsiaTheme="minorEastAsia" w:hAnsi="Times New Roman" w:cs="Times New Roman"/>
          <w:sz w:val="24"/>
          <w:szCs w:val="24"/>
          <w:lang w:val="en-US"/>
        </w:rPr>
        <w:t xml:space="preserve"> of the derivative regulatory system that </w:t>
      </w:r>
      <w:r>
        <w:rPr>
          <w:rFonts w:ascii="Times New Roman" w:eastAsiaTheme="minorEastAsia" w:hAnsi="Times New Roman" w:cs="Times New Roman"/>
          <w:sz w:val="24"/>
          <w:szCs w:val="24"/>
          <w:lang w:val="en-US"/>
        </w:rPr>
        <w:t>directly influenced the</w:t>
      </w:r>
      <w:r w:rsidRPr="007824DF">
        <w:rPr>
          <w:rFonts w:ascii="Times New Roman" w:eastAsiaTheme="minorEastAsia" w:hAnsi="Times New Roman" w:cs="Times New Roman"/>
          <w:sz w:val="24"/>
          <w:szCs w:val="24"/>
          <w:lang w:val="en-US"/>
        </w:rPr>
        <w:t xml:space="preserve"> necessity to improve the risk management system.</w:t>
      </w:r>
    </w:p>
    <w:p w:rsidR="00812E0F" w:rsidRPr="007824DF" w:rsidRDefault="00812E0F" w:rsidP="00812E0F">
      <w:pPr>
        <w:spacing w:after="120" w:line="240" w:lineRule="auto"/>
        <w:ind w:firstLine="567"/>
        <w:jc w:val="both"/>
        <w:rPr>
          <w:rFonts w:ascii="Times New Roman" w:eastAsiaTheme="minorEastAsia" w:hAnsi="Times New Roman" w:cs="Times New Roman"/>
          <w:sz w:val="24"/>
          <w:szCs w:val="24"/>
          <w:lang w:val="en-US"/>
        </w:rPr>
      </w:pPr>
      <w:r w:rsidRPr="007824DF">
        <w:rPr>
          <w:rFonts w:ascii="Times New Roman" w:eastAsiaTheme="minorEastAsia" w:hAnsi="Times New Roman" w:cs="Times New Roman"/>
          <w:sz w:val="24"/>
          <w:szCs w:val="24"/>
          <w:lang w:val="en-US"/>
        </w:rPr>
        <w:t xml:space="preserve">The international aspect of NCC's activity and, in the first place, within the European Association  of Clearing Houses-Central Counterparties (EACH) </w:t>
      </w:r>
      <w:r>
        <w:rPr>
          <w:rFonts w:ascii="Times New Roman" w:eastAsiaTheme="minorEastAsia" w:hAnsi="Times New Roman" w:cs="Times New Roman"/>
          <w:sz w:val="24"/>
          <w:szCs w:val="24"/>
          <w:lang w:val="en-US"/>
        </w:rPr>
        <w:t>drew</w:t>
      </w:r>
      <w:r w:rsidR="00CC34FD" w:rsidRPr="00CC34FD">
        <w:rPr>
          <w:rFonts w:ascii="Times New Roman" w:eastAsiaTheme="minorEastAsia" w:hAnsi="Times New Roman" w:cs="Times New Roman"/>
          <w:sz w:val="24"/>
          <w:szCs w:val="24"/>
          <w:lang w:val="en-US"/>
        </w:rPr>
        <w:t xml:space="preserve"> </w:t>
      </w:r>
      <w:r w:rsidRPr="007824DF">
        <w:rPr>
          <w:rFonts w:ascii="Times New Roman" w:eastAsiaTheme="minorEastAsia" w:hAnsi="Times New Roman" w:cs="Times New Roman"/>
          <w:sz w:val="24"/>
          <w:szCs w:val="24"/>
          <w:lang w:val="en-US"/>
        </w:rPr>
        <w:t xml:space="preserve">attention of the regulator as well as the partners to the issues of harmonization of European and Russian regulation of </w:t>
      </w:r>
      <w:r>
        <w:rPr>
          <w:rFonts w:ascii="Times New Roman" w:eastAsiaTheme="minorEastAsia" w:hAnsi="Times New Roman" w:cs="Times New Roman"/>
          <w:sz w:val="24"/>
          <w:szCs w:val="24"/>
          <w:lang w:val="en-US"/>
        </w:rPr>
        <w:t>CCPs</w:t>
      </w:r>
      <w:r w:rsidRPr="007824DF">
        <w:rPr>
          <w:rFonts w:ascii="Times New Roman" w:eastAsiaTheme="minorEastAsia" w:hAnsi="Times New Roman" w:cs="Times New Roman"/>
          <w:sz w:val="24"/>
          <w:szCs w:val="24"/>
          <w:lang w:val="en-US"/>
        </w:rPr>
        <w:t xml:space="preserve"> activity and also of international standards </w:t>
      </w:r>
      <w:r>
        <w:rPr>
          <w:rFonts w:ascii="Times New Roman" w:eastAsiaTheme="minorEastAsia" w:hAnsi="Times New Roman" w:cs="Times New Roman"/>
          <w:sz w:val="24"/>
          <w:szCs w:val="24"/>
          <w:lang w:val="en-US"/>
        </w:rPr>
        <w:t xml:space="preserve"> related </w:t>
      </w:r>
      <w:r w:rsidRPr="007824DF">
        <w:rPr>
          <w:rFonts w:ascii="Times New Roman" w:eastAsiaTheme="minorEastAsia" w:hAnsi="Times New Roman" w:cs="Times New Roman"/>
          <w:sz w:val="24"/>
          <w:szCs w:val="24"/>
          <w:lang w:val="en-US"/>
        </w:rPr>
        <w:t xml:space="preserve"> with </w:t>
      </w:r>
      <w:r>
        <w:rPr>
          <w:rFonts w:ascii="Times New Roman" w:eastAsiaTheme="minorEastAsia" w:hAnsi="Times New Roman" w:cs="Times New Roman"/>
          <w:sz w:val="24"/>
          <w:szCs w:val="24"/>
          <w:lang w:val="en-US"/>
        </w:rPr>
        <w:t>the recognition</w:t>
      </w:r>
      <w:r w:rsidRPr="007824DF">
        <w:rPr>
          <w:rFonts w:ascii="Times New Roman" w:eastAsiaTheme="minorEastAsia" w:hAnsi="Times New Roman" w:cs="Times New Roman"/>
          <w:sz w:val="24"/>
          <w:szCs w:val="24"/>
          <w:lang w:val="en-US"/>
        </w:rPr>
        <w:t xml:space="preserve"> of the qualification granted by Bank of Russia </w:t>
      </w:r>
      <w:r>
        <w:rPr>
          <w:rFonts w:ascii="Times New Roman" w:eastAsiaTheme="minorEastAsia" w:hAnsi="Times New Roman" w:cs="Times New Roman"/>
          <w:sz w:val="24"/>
          <w:szCs w:val="24"/>
          <w:lang w:val="en-US"/>
        </w:rPr>
        <w:t>to</w:t>
      </w:r>
      <w:r w:rsidRPr="007824DF">
        <w:rPr>
          <w:rFonts w:ascii="Times New Roman" w:eastAsiaTheme="minorEastAsia" w:hAnsi="Times New Roman" w:cs="Times New Roman"/>
          <w:sz w:val="24"/>
          <w:szCs w:val="24"/>
          <w:lang w:val="en-US"/>
        </w:rPr>
        <w:t xml:space="preserve"> the Russian Central Counterparty – NCC</w:t>
      </w:r>
      <w:r>
        <w:rPr>
          <w:rFonts w:ascii="Times New Roman" w:eastAsiaTheme="minorEastAsia" w:hAnsi="Times New Roman" w:cs="Times New Roman"/>
          <w:sz w:val="24"/>
          <w:szCs w:val="24"/>
          <w:lang w:val="en-US"/>
        </w:rPr>
        <w:t>,</w:t>
      </w:r>
      <w:r w:rsidRPr="007824DF">
        <w:rPr>
          <w:rFonts w:ascii="Times New Roman" w:eastAsiaTheme="minorEastAsia" w:hAnsi="Times New Roman" w:cs="Times New Roman"/>
          <w:sz w:val="24"/>
          <w:szCs w:val="24"/>
          <w:lang w:val="en-US"/>
        </w:rPr>
        <w:t xml:space="preserve"> within other jurisdictions to ensure</w:t>
      </w:r>
      <w:r>
        <w:rPr>
          <w:rFonts w:ascii="Times New Roman" w:eastAsiaTheme="minorEastAsia" w:hAnsi="Times New Roman" w:cs="Times New Roman"/>
          <w:sz w:val="24"/>
          <w:szCs w:val="24"/>
          <w:lang w:val="en-US"/>
        </w:rPr>
        <w:t xml:space="preserve"> the opportunity for a </w:t>
      </w:r>
      <w:r w:rsidRPr="007824DF">
        <w:rPr>
          <w:rFonts w:ascii="Times New Roman" w:eastAsiaTheme="minorEastAsia" w:hAnsi="Times New Roman" w:cs="Times New Roman"/>
          <w:sz w:val="24"/>
          <w:szCs w:val="24"/>
          <w:lang w:val="en-US"/>
        </w:rPr>
        <w:t xml:space="preserve"> non-discriminatory participation of Russia in the international integration processes in the financial market.</w:t>
      </w:r>
    </w:p>
    <w:p w:rsidR="00812E0F" w:rsidRPr="007824DF" w:rsidRDefault="00812E0F" w:rsidP="00812E0F">
      <w:pPr>
        <w:spacing w:after="120" w:line="240" w:lineRule="auto"/>
        <w:ind w:firstLine="567"/>
        <w:jc w:val="both"/>
        <w:rPr>
          <w:rFonts w:ascii="Times New Roman" w:eastAsiaTheme="minorEastAsia" w:hAnsi="Times New Roman" w:cs="Times New Roman"/>
          <w:sz w:val="24"/>
          <w:szCs w:val="24"/>
          <w:lang w:val="en-US"/>
        </w:rPr>
      </w:pPr>
      <w:r w:rsidRPr="007824DF">
        <w:rPr>
          <w:rFonts w:ascii="Times New Roman" w:eastAsiaTheme="minorEastAsia" w:hAnsi="Times New Roman" w:cs="Times New Roman"/>
          <w:sz w:val="24"/>
          <w:szCs w:val="24"/>
          <w:lang w:val="en-US"/>
        </w:rPr>
        <w:t xml:space="preserve">The fact that NCC is a member of Moscow Exchange Group could not only minimize expenses due to the integration of certain management processes as well as could </w:t>
      </w:r>
      <w:r>
        <w:rPr>
          <w:rFonts w:ascii="Times New Roman" w:eastAsiaTheme="minorEastAsia" w:hAnsi="Times New Roman" w:cs="Times New Roman"/>
          <w:sz w:val="24"/>
          <w:szCs w:val="24"/>
          <w:lang w:val="en-US"/>
        </w:rPr>
        <w:t>ease</w:t>
      </w:r>
      <w:r w:rsidRPr="007824DF">
        <w:rPr>
          <w:rFonts w:ascii="Times New Roman" w:eastAsiaTheme="minorEastAsia" w:hAnsi="Times New Roman" w:cs="Times New Roman"/>
          <w:sz w:val="24"/>
          <w:szCs w:val="24"/>
          <w:lang w:val="en-US"/>
        </w:rPr>
        <w:t xml:space="preserve"> the task of creating complex exchange products containing clearing services, but it ensured conditions to maintain at </w:t>
      </w:r>
      <w:r>
        <w:rPr>
          <w:rFonts w:ascii="Times New Roman" w:eastAsiaTheme="minorEastAsia" w:hAnsi="Times New Roman" w:cs="Times New Roman"/>
          <w:sz w:val="24"/>
          <w:szCs w:val="24"/>
          <w:lang w:val="en-US"/>
        </w:rPr>
        <w:t xml:space="preserve">a </w:t>
      </w:r>
      <w:r w:rsidRPr="007824DF">
        <w:rPr>
          <w:rFonts w:ascii="Times New Roman" w:eastAsiaTheme="minorEastAsia" w:hAnsi="Times New Roman" w:cs="Times New Roman"/>
          <w:sz w:val="24"/>
          <w:szCs w:val="24"/>
          <w:lang w:val="en-US"/>
        </w:rPr>
        <w:t xml:space="preserve">high level the formed communications system within the Group </w:t>
      </w:r>
      <w:r>
        <w:rPr>
          <w:rFonts w:ascii="Times New Roman" w:eastAsiaTheme="minorEastAsia" w:hAnsi="Times New Roman" w:cs="Times New Roman"/>
          <w:sz w:val="24"/>
          <w:szCs w:val="24"/>
          <w:lang w:val="en-US"/>
        </w:rPr>
        <w:t xml:space="preserve">designed to </w:t>
      </w:r>
      <w:r w:rsidR="00CC34FD" w:rsidRPr="007824DF">
        <w:rPr>
          <w:rFonts w:ascii="Times New Roman" w:eastAsiaTheme="minorEastAsia" w:hAnsi="Times New Roman" w:cs="Times New Roman"/>
          <w:sz w:val="24"/>
          <w:szCs w:val="24"/>
          <w:lang w:val="en-US"/>
        </w:rPr>
        <w:t>create</w:t>
      </w:r>
      <w:r w:rsidRPr="007824DF">
        <w:rPr>
          <w:rFonts w:ascii="Times New Roman" w:eastAsiaTheme="minorEastAsia" w:hAnsi="Times New Roman" w:cs="Times New Roman"/>
          <w:sz w:val="24"/>
          <w:szCs w:val="24"/>
          <w:lang w:val="en-US"/>
        </w:rPr>
        <w:t xml:space="preserve"> new products which contain centralized clearing services as a component. It </w:t>
      </w:r>
      <w:r>
        <w:rPr>
          <w:rFonts w:ascii="Times New Roman" w:eastAsiaTheme="minorEastAsia" w:hAnsi="Times New Roman" w:cs="Times New Roman"/>
          <w:sz w:val="24"/>
          <w:szCs w:val="24"/>
          <w:lang w:val="en-US"/>
        </w:rPr>
        <w:t>is of a</w:t>
      </w:r>
      <w:r w:rsidRPr="007824DF">
        <w:rPr>
          <w:rFonts w:ascii="Times New Roman" w:eastAsiaTheme="minorEastAsia" w:hAnsi="Times New Roman" w:cs="Times New Roman"/>
          <w:sz w:val="24"/>
          <w:szCs w:val="24"/>
          <w:lang w:val="en-US"/>
        </w:rPr>
        <w:t xml:space="preserve"> great importance for efficient functioning of NCC </w:t>
      </w:r>
      <w:r>
        <w:rPr>
          <w:rFonts w:ascii="Times New Roman" w:eastAsiaTheme="minorEastAsia" w:hAnsi="Times New Roman" w:cs="Times New Roman"/>
          <w:sz w:val="24"/>
          <w:szCs w:val="24"/>
          <w:lang w:val="en-US"/>
        </w:rPr>
        <w:t>which</w:t>
      </w:r>
      <w:r w:rsidRPr="007824DF">
        <w:rPr>
          <w:rFonts w:ascii="Times New Roman" w:eastAsiaTheme="minorEastAsia" w:hAnsi="Times New Roman" w:cs="Times New Roman"/>
          <w:sz w:val="24"/>
          <w:szCs w:val="24"/>
          <w:lang w:val="en-US"/>
        </w:rPr>
        <w:t xml:space="preserve"> business model is characterized by integration of clearing services into the unified technological trading </w:t>
      </w:r>
      <w:r>
        <w:rPr>
          <w:rFonts w:ascii="Times New Roman" w:eastAsiaTheme="minorEastAsia" w:hAnsi="Times New Roman" w:cs="Times New Roman"/>
          <w:sz w:val="24"/>
          <w:szCs w:val="24"/>
          <w:lang w:val="en-US"/>
        </w:rPr>
        <w:t>and settlement cycle</w:t>
      </w:r>
      <w:r w:rsidRPr="007824DF">
        <w:rPr>
          <w:rFonts w:ascii="Times New Roman" w:eastAsiaTheme="minorEastAsia" w:hAnsi="Times New Roman" w:cs="Times New Roman"/>
          <w:sz w:val="24"/>
          <w:szCs w:val="24"/>
          <w:lang w:val="en-US"/>
        </w:rPr>
        <w:t>.</w:t>
      </w:r>
    </w:p>
    <w:p w:rsidR="00812E0F" w:rsidRPr="007824DF" w:rsidRDefault="00812E0F" w:rsidP="00812E0F">
      <w:pPr>
        <w:spacing w:after="120" w:line="240" w:lineRule="auto"/>
        <w:ind w:firstLine="567"/>
        <w:jc w:val="both"/>
        <w:rPr>
          <w:rFonts w:ascii="Times New Roman" w:eastAsiaTheme="minorEastAsia" w:hAnsi="Times New Roman" w:cs="Times New Roman"/>
          <w:sz w:val="24"/>
          <w:szCs w:val="24"/>
          <w:lang w:val="en-US"/>
        </w:rPr>
      </w:pPr>
      <w:r w:rsidRPr="007824DF">
        <w:rPr>
          <w:rFonts w:ascii="Times New Roman" w:eastAsiaTheme="minorEastAsia" w:hAnsi="Times New Roman" w:cs="Times New Roman"/>
          <w:sz w:val="24"/>
          <w:szCs w:val="24"/>
          <w:lang w:val="en-US"/>
        </w:rPr>
        <w:t>In 2014 NCC performed clearing activity in accordance with the requirements of Federal Law No. 7-FZ as of February 7, 2011 “On Clearing and Clearing Activity", with the legislation of the Russian Federation</w:t>
      </w:r>
      <w:r>
        <w:rPr>
          <w:rFonts w:ascii="Times New Roman" w:eastAsiaTheme="minorEastAsia" w:hAnsi="Times New Roman" w:cs="Times New Roman"/>
          <w:sz w:val="24"/>
          <w:szCs w:val="24"/>
          <w:lang w:val="en-US"/>
        </w:rPr>
        <w:t xml:space="preserve"> on banking  and</w:t>
      </w:r>
      <w:r w:rsidRPr="007824DF">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by-laws</w:t>
      </w:r>
      <w:r w:rsidRPr="007824DF">
        <w:rPr>
          <w:rFonts w:ascii="Times New Roman" w:eastAsiaTheme="minorEastAsia" w:hAnsi="Times New Roman" w:cs="Times New Roman"/>
          <w:sz w:val="24"/>
          <w:szCs w:val="24"/>
          <w:lang w:val="en-US"/>
        </w:rPr>
        <w:t xml:space="preserve"> of the regulatory and supervision bodies of Russia.</w:t>
      </w:r>
      <w:r>
        <w:rPr>
          <w:rFonts w:ascii="Times New Roman" w:eastAsiaTheme="minorEastAsia" w:hAnsi="Times New Roman" w:cs="Times New Roman"/>
          <w:sz w:val="24"/>
          <w:szCs w:val="24"/>
          <w:lang w:val="en-US"/>
        </w:rPr>
        <w:t xml:space="preserve"> </w:t>
      </w:r>
    </w:p>
    <w:p w:rsidR="00812E0F" w:rsidRPr="007824DF" w:rsidRDefault="00812E0F" w:rsidP="00812E0F">
      <w:pPr>
        <w:spacing w:after="120" w:line="240" w:lineRule="auto"/>
        <w:ind w:firstLine="567"/>
        <w:jc w:val="both"/>
        <w:rPr>
          <w:rFonts w:ascii="Times New Roman" w:eastAsiaTheme="minorEastAsia" w:hAnsi="Times New Roman" w:cs="Times New Roman"/>
          <w:sz w:val="24"/>
          <w:szCs w:val="24"/>
          <w:lang w:val="en-US"/>
        </w:rPr>
      </w:pPr>
      <w:r w:rsidRPr="007824DF">
        <w:rPr>
          <w:rFonts w:ascii="Times New Roman" w:eastAsiaTheme="minorEastAsia" w:hAnsi="Times New Roman" w:cs="Times New Roman"/>
          <w:sz w:val="24"/>
          <w:szCs w:val="24"/>
          <w:lang w:val="en-US"/>
        </w:rPr>
        <w:t>The Bank rendered a full range of clearing services, performing clearing on trades concluded:</w:t>
      </w:r>
    </w:p>
    <w:p w:rsidR="00812E0F" w:rsidRPr="007824DF" w:rsidRDefault="00812E0F" w:rsidP="00472CA4">
      <w:pPr>
        <w:numPr>
          <w:ilvl w:val="0"/>
          <w:numId w:val="35"/>
        </w:numPr>
        <w:spacing w:after="120" w:line="240" w:lineRule="auto"/>
        <w:ind w:hanging="513"/>
        <w:jc w:val="both"/>
        <w:rPr>
          <w:rFonts w:ascii="Times New Roman" w:eastAsiaTheme="minorEastAsia" w:hAnsi="Times New Roman" w:cs="Times New Roman"/>
          <w:sz w:val="24"/>
          <w:szCs w:val="24"/>
          <w:lang w:val="en-US"/>
        </w:rPr>
      </w:pPr>
      <w:r w:rsidRPr="007824DF">
        <w:rPr>
          <w:rFonts w:ascii="Times New Roman" w:eastAsiaTheme="minorEastAsia" w:hAnsi="Times New Roman" w:cs="Times New Roman"/>
          <w:sz w:val="24"/>
          <w:szCs w:val="24"/>
          <w:lang w:val="en-US"/>
        </w:rPr>
        <w:t>with full pre-posted collateral (securities or cash control required for complete trade’s execution carried out before its conclusion) ;</w:t>
      </w:r>
    </w:p>
    <w:p w:rsidR="00812E0F" w:rsidRPr="007824DF" w:rsidRDefault="00812E0F" w:rsidP="00472CA4">
      <w:pPr>
        <w:numPr>
          <w:ilvl w:val="0"/>
          <w:numId w:val="35"/>
        </w:numPr>
        <w:spacing w:after="120" w:line="240" w:lineRule="auto"/>
        <w:ind w:hanging="513"/>
        <w:jc w:val="both"/>
        <w:rPr>
          <w:rFonts w:ascii="Times New Roman" w:eastAsiaTheme="minorEastAsia" w:hAnsi="Times New Roman" w:cs="Times New Roman"/>
          <w:sz w:val="24"/>
          <w:szCs w:val="24"/>
          <w:lang w:val="en-US"/>
        </w:rPr>
      </w:pPr>
      <w:r w:rsidRPr="007824DF">
        <w:rPr>
          <w:rFonts w:ascii="Times New Roman" w:eastAsiaTheme="minorEastAsia" w:hAnsi="Times New Roman" w:cs="Times New Roman"/>
          <w:sz w:val="24"/>
          <w:szCs w:val="24"/>
          <w:lang w:val="en-US"/>
        </w:rPr>
        <w:t xml:space="preserve">with partial pre-posted collateral ( control of a clearing member limit </w:t>
      </w:r>
      <w:r>
        <w:rPr>
          <w:rFonts w:ascii="Times New Roman" w:eastAsiaTheme="minorEastAsia" w:hAnsi="Times New Roman" w:cs="Times New Roman"/>
          <w:sz w:val="24"/>
          <w:szCs w:val="24"/>
          <w:lang w:val="en-US"/>
        </w:rPr>
        <w:t xml:space="preserve">adequacy </w:t>
      </w:r>
      <w:r w:rsidRPr="007824DF">
        <w:rPr>
          <w:rFonts w:ascii="Times New Roman" w:eastAsiaTheme="minorEastAsia" w:hAnsi="Times New Roman" w:cs="Times New Roman"/>
          <w:sz w:val="24"/>
          <w:szCs w:val="24"/>
          <w:lang w:val="en-US"/>
        </w:rPr>
        <w:t>before trade’s conclusion);</w:t>
      </w:r>
    </w:p>
    <w:p w:rsidR="00812E0F" w:rsidRPr="007824DF" w:rsidRDefault="00812E0F" w:rsidP="00472CA4">
      <w:pPr>
        <w:numPr>
          <w:ilvl w:val="0"/>
          <w:numId w:val="35"/>
        </w:numPr>
        <w:spacing w:after="120" w:line="240" w:lineRule="auto"/>
        <w:ind w:hanging="513"/>
        <w:jc w:val="both"/>
        <w:rPr>
          <w:rFonts w:ascii="Times New Roman" w:eastAsiaTheme="minorEastAsia" w:hAnsi="Times New Roman" w:cs="Times New Roman"/>
          <w:sz w:val="24"/>
          <w:szCs w:val="24"/>
          <w:lang w:val="en-US"/>
        </w:rPr>
      </w:pPr>
      <w:proofErr w:type="gramStart"/>
      <w:r w:rsidRPr="007824DF">
        <w:rPr>
          <w:rFonts w:ascii="Times New Roman" w:eastAsiaTheme="minorEastAsia" w:hAnsi="Times New Roman" w:cs="Times New Roman"/>
          <w:sz w:val="24"/>
          <w:szCs w:val="24"/>
          <w:lang w:val="en-US"/>
        </w:rPr>
        <w:t>without</w:t>
      </w:r>
      <w:proofErr w:type="gramEnd"/>
      <w:r w:rsidRPr="007824DF">
        <w:rPr>
          <w:rFonts w:ascii="Times New Roman" w:eastAsiaTheme="minorEastAsia" w:hAnsi="Times New Roman" w:cs="Times New Roman"/>
          <w:sz w:val="24"/>
          <w:szCs w:val="24"/>
          <w:lang w:val="en-US"/>
        </w:rPr>
        <w:t xml:space="preserve"> pre-posted collateral (securities or cash control required for complete trade’s execution carried out after trade’s conclusion immediately before its execution).</w:t>
      </w:r>
    </w:p>
    <w:p w:rsidR="00812E0F" w:rsidRPr="007824DF" w:rsidRDefault="00812E0F" w:rsidP="00812E0F">
      <w:pPr>
        <w:spacing w:after="120" w:line="240" w:lineRule="auto"/>
        <w:ind w:firstLine="567"/>
        <w:jc w:val="both"/>
        <w:rPr>
          <w:rFonts w:ascii="Times New Roman" w:eastAsiaTheme="minorEastAsia" w:hAnsi="Times New Roman" w:cs="Times New Roman"/>
          <w:sz w:val="24"/>
          <w:szCs w:val="24"/>
          <w:lang w:val="en-US"/>
        </w:rPr>
      </w:pPr>
      <w:r w:rsidRPr="007824DF">
        <w:rPr>
          <w:rFonts w:ascii="Times New Roman" w:eastAsiaTheme="minorEastAsia" w:hAnsi="Times New Roman" w:cs="Times New Roman"/>
          <w:sz w:val="24"/>
          <w:szCs w:val="24"/>
          <w:lang w:val="en-US"/>
        </w:rPr>
        <w:t>When performing the functions of the central counterparty during the clearing in the currency, derivatives and stock markets NCC concluded trades with full or partial pre-posted collateral with each trad</w:t>
      </w:r>
      <w:r>
        <w:rPr>
          <w:rFonts w:ascii="Times New Roman" w:eastAsiaTheme="minorEastAsia" w:hAnsi="Times New Roman" w:cs="Times New Roman"/>
          <w:sz w:val="24"/>
          <w:szCs w:val="24"/>
          <w:lang w:val="en-US"/>
        </w:rPr>
        <w:t>ing participant</w:t>
      </w:r>
      <w:r w:rsidRPr="007824DF">
        <w:rPr>
          <w:rFonts w:ascii="Times New Roman" w:eastAsiaTheme="minorEastAsia" w:hAnsi="Times New Roman" w:cs="Times New Roman"/>
          <w:sz w:val="24"/>
          <w:szCs w:val="24"/>
          <w:lang w:val="en-US"/>
        </w:rPr>
        <w:t xml:space="preserve"> providing settlements with clearing members on all </w:t>
      </w:r>
      <w:r>
        <w:rPr>
          <w:rFonts w:ascii="Times New Roman" w:eastAsiaTheme="minorEastAsia" w:hAnsi="Times New Roman" w:cs="Times New Roman"/>
          <w:sz w:val="24"/>
          <w:szCs w:val="24"/>
          <w:lang w:val="en-US"/>
        </w:rPr>
        <w:t xml:space="preserve"> </w:t>
      </w:r>
      <w:r w:rsidRPr="007824DF">
        <w:rPr>
          <w:rFonts w:ascii="Times New Roman" w:eastAsiaTheme="minorEastAsia" w:hAnsi="Times New Roman" w:cs="Times New Roman"/>
          <w:sz w:val="24"/>
          <w:szCs w:val="24"/>
          <w:lang w:val="en-US"/>
        </w:rPr>
        <w:t xml:space="preserve"> concluded </w:t>
      </w:r>
      <w:r>
        <w:rPr>
          <w:rFonts w:ascii="Times New Roman" w:eastAsiaTheme="minorEastAsia" w:hAnsi="Times New Roman" w:cs="Times New Roman"/>
          <w:sz w:val="24"/>
          <w:szCs w:val="24"/>
          <w:lang w:val="en-US"/>
        </w:rPr>
        <w:t>buy/sell</w:t>
      </w:r>
      <w:r w:rsidRPr="007824DF">
        <w:rPr>
          <w:rFonts w:ascii="Times New Roman" w:eastAsiaTheme="minorEastAsia" w:hAnsi="Times New Roman" w:cs="Times New Roman"/>
          <w:sz w:val="24"/>
          <w:szCs w:val="24"/>
          <w:lang w:val="en-US"/>
        </w:rPr>
        <w:t xml:space="preserve"> trades with foreign currencies, precious metals, securities and derivative financial instruments.</w:t>
      </w:r>
    </w:p>
    <w:p w:rsidR="00812E0F" w:rsidRPr="007824DF" w:rsidRDefault="00812E0F" w:rsidP="00812E0F">
      <w:pPr>
        <w:spacing w:after="120" w:line="240" w:lineRule="auto"/>
        <w:ind w:firstLine="567"/>
        <w:jc w:val="both"/>
        <w:rPr>
          <w:rFonts w:ascii="Times New Roman" w:eastAsiaTheme="minorEastAsia" w:hAnsi="Times New Roman" w:cs="Times New Roman"/>
          <w:sz w:val="24"/>
          <w:szCs w:val="24"/>
          <w:lang w:val="en-US"/>
        </w:rPr>
      </w:pPr>
      <w:r w:rsidRPr="007824DF">
        <w:rPr>
          <w:rFonts w:ascii="Times New Roman" w:eastAsiaTheme="minorEastAsia" w:hAnsi="Times New Roman" w:cs="Times New Roman"/>
          <w:sz w:val="24"/>
          <w:szCs w:val="24"/>
          <w:lang w:val="en-US"/>
        </w:rPr>
        <w:t xml:space="preserve">In 2013 the Bank performed the functions of a clearing organization in all the markets of the Group and in the market of other exchanges (Moscow Energy Exchange, OJSC, Saint-Petersburg Exchange, OJSC, Moscow International Commodity Exchange, </w:t>
      </w:r>
      <w:proofErr w:type="gramStart"/>
      <w:r w:rsidRPr="007824DF">
        <w:rPr>
          <w:rFonts w:ascii="Times New Roman" w:eastAsiaTheme="minorEastAsia" w:hAnsi="Times New Roman" w:cs="Times New Roman"/>
          <w:sz w:val="24"/>
          <w:szCs w:val="24"/>
          <w:lang w:val="en-US"/>
        </w:rPr>
        <w:t>OJSC</w:t>
      </w:r>
      <w:proofErr w:type="gramEnd"/>
      <w:r w:rsidRPr="007824DF">
        <w:rPr>
          <w:rFonts w:ascii="Times New Roman" w:eastAsiaTheme="minorEastAsia" w:hAnsi="Times New Roman" w:cs="Times New Roman"/>
          <w:sz w:val="24"/>
          <w:szCs w:val="24"/>
          <w:lang w:val="en-US"/>
        </w:rPr>
        <w:t>).</w:t>
      </w:r>
    </w:p>
    <w:p w:rsidR="00812E0F" w:rsidRPr="007824DF" w:rsidRDefault="00812E0F" w:rsidP="00812E0F">
      <w:pPr>
        <w:spacing w:after="120" w:line="240" w:lineRule="auto"/>
        <w:ind w:firstLine="567"/>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w:t>
      </w:r>
      <w:r w:rsidRPr="007824DF">
        <w:rPr>
          <w:rFonts w:ascii="Times New Roman" w:eastAsiaTheme="minorEastAsia" w:hAnsi="Times New Roman" w:cs="Times New Roman"/>
          <w:sz w:val="24"/>
          <w:szCs w:val="24"/>
          <w:lang w:val="en-US"/>
        </w:rPr>
        <w:t xml:space="preserve">NCC clearing activity in </w:t>
      </w:r>
      <w:r>
        <w:rPr>
          <w:rFonts w:ascii="Times New Roman" w:eastAsiaTheme="minorEastAsia" w:hAnsi="Times New Roman" w:cs="Times New Roman"/>
          <w:sz w:val="24"/>
          <w:szCs w:val="24"/>
          <w:lang w:val="en-US"/>
        </w:rPr>
        <w:t>on-</w:t>
      </w:r>
      <w:proofErr w:type="gramStart"/>
      <w:r>
        <w:rPr>
          <w:rFonts w:ascii="Times New Roman" w:eastAsiaTheme="minorEastAsia" w:hAnsi="Times New Roman" w:cs="Times New Roman"/>
          <w:sz w:val="24"/>
          <w:szCs w:val="24"/>
          <w:lang w:val="en-US"/>
        </w:rPr>
        <w:t xml:space="preserve">exchange </w:t>
      </w:r>
      <w:r w:rsidRPr="007824DF">
        <w:rPr>
          <w:rFonts w:ascii="Times New Roman" w:eastAsiaTheme="minorEastAsia" w:hAnsi="Times New Roman" w:cs="Times New Roman"/>
          <w:sz w:val="24"/>
          <w:szCs w:val="24"/>
          <w:lang w:val="en-US"/>
        </w:rPr>
        <w:t xml:space="preserve"> markets</w:t>
      </w:r>
      <w:proofErr w:type="gramEnd"/>
      <w:r w:rsidRPr="007824DF">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for 2013 </w:t>
      </w:r>
      <w:r w:rsidRPr="007824DF">
        <w:rPr>
          <w:rFonts w:ascii="Times New Roman" w:eastAsiaTheme="minorEastAsia" w:hAnsi="Times New Roman" w:cs="Times New Roman"/>
          <w:sz w:val="24"/>
          <w:szCs w:val="24"/>
          <w:lang w:val="en-US"/>
        </w:rPr>
        <w:t>formed the following structure of relations with exchanges providing integrity and continuity of a trading clearing cycle:</w:t>
      </w:r>
    </w:p>
    <w:p w:rsidR="00812E0F" w:rsidRPr="007824DF" w:rsidRDefault="00812E0F" w:rsidP="00812E0F">
      <w:pPr>
        <w:spacing w:after="120" w:line="240" w:lineRule="auto"/>
        <w:ind w:firstLine="567"/>
        <w:jc w:val="both"/>
        <w:rPr>
          <w:rFonts w:ascii="Times New Roman" w:eastAsiaTheme="minorEastAsia" w:hAnsi="Times New Roman" w:cs="Times New Roman"/>
          <w:sz w:val="24"/>
          <w:szCs w:val="24"/>
          <w:lang w:val="en-US"/>
        </w:rPr>
      </w:pPr>
    </w:p>
    <w:p w:rsidR="00812E0F" w:rsidRPr="007824DF" w:rsidRDefault="00812E0F" w:rsidP="00812E0F">
      <w:pPr>
        <w:spacing w:after="120" w:line="240" w:lineRule="auto"/>
        <w:jc w:val="both"/>
        <w:rPr>
          <w:rFonts w:ascii="Times New Roman" w:eastAsiaTheme="minorEastAsia" w:hAnsi="Times New Roman" w:cs="Times New Roman"/>
          <w:sz w:val="24"/>
          <w:szCs w:val="24"/>
          <w:lang w:val="en-US"/>
        </w:rPr>
      </w:pPr>
      <w:r w:rsidRPr="007824DF">
        <w:rPr>
          <w:rFonts w:ascii="Times New Roman" w:eastAsiaTheme="minorEastAsia" w:hAnsi="Times New Roman" w:cs="Times New Roman"/>
          <w:noProof/>
          <w:sz w:val="24"/>
          <w:szCs w:val="24"/>
          <w:lang w:eastAsia="ru-RU"/>
        </w:rPr>
        <w:drawing>
          <wp:inline distT="0" distB="0" distL="0" distR="0" wp14:anchorId="55C1F9AC" wp14:editId="0D940CB6">
            <wp:extent cx="5934075" cy="3733799"/>
            <wp:effectExtent l="0" t="0" r="0" b="63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934075" cy="3733799"/>
                    </a:xfrm>
                    <a:prstGeom prst="rect">
                      <a:avLst/>
                    </a:prstGeom>
                    <a:noFill/>
                    <a:ln>
                      <a:noFill/>
                    </a:ln>
                  </pic:spPr>
                </pic:pic>
              </a:graphicData>
            </a:graphic>
          </wp:inline>
        </w:drawing>
      </w:r>
    </w:p>
    <w:p w:rsidR="00812E0F" w:rsidRPr="007824DF" w:rsidRDefault="00812E0F" w:rsidP="00812E0F">
      <w:pPr>
        <w:spacing w:after="120" w:line="240" w:lineRule="auto"/>
        <w:ind w:firstLine="567"/>
        <w:jc w:val="both"/>
        <w:rPr>
          <w:rFonts w:ascii="Times New Roman" w:eastAsiaTheme="minorEastAsia" w:hAnsi="Times New Roman" w:cs="Times New Roman"/>
          <w:sz w:val="24"/>
          <w:szCs w:val="24"/>
          <w:lang w:val="en-US"/>
        </w:rPr>
      </w:pPr>
    </w:p>
    <w:p w:rsidR="00812E0F" w:rsidRPr="007824DF" w:rsidRDefault="00812E0F" w:rsidP="00812E0F">
      <w:pPr>
        <w:spacing w:after="120" w:line="240" w:lineRule="auto"/>
        <w:ind w:firstLine="567"/>
        <w:jc w:val="both"/>
        <w:rPr>
          <w:rFonts w:ascii="Times New Roman" w:hAnsi="Times New Roman" w:cs="Times New Roman"/>
          <w:sz w:val="24"/>
          <w:szCs w:val="24"/>
          <w:lang w:val="en-US"/>
        </w:rPr>
      </w:pPr>
      <w:r w:rsidRPr="007824DF">
        <w:rPr>
          <w:rFonts w:ascii="Times New Roman" w:hAnsi="Times New Roman" w:cs="Times New Roman"/>
          <w:sz w:val="24"/>
          <w:szCs w:val="24"/>
          <w:lang w:val="en-US"/>
        </w:rPr>
        <w:t>The most significant events of the past year included the implementation of the following large-scale projects and tasks:</w:t>
      </w:r>
    </w:p>
    <w:p w:rsidR="00812E0F" w:rsidRPr="007824DF" w:rsidRDefault="00812E0F" w:rsidP="00812E0F">
      <w:pPr>
        <w:spacing w:after="120" w:line="240" w:lineRule="auto"/>
        <w:ind w:firstLine="567"/>
        <w:jc w:val="both"/>
        <w:rPr>
          <w:rFonts w:ascii="Times New Roman" w:eastAsia="Calibri" w:hAnsi="Times New Roman" w:cs="Times New Roman"/>
          <w:sz w:val="24"/>
          <w:szCs w:val="24"/>
          <w:lang w:val="en-US"/>
        </w:rPr>
      </w:pPr>
    </w:p>
    <w:p w:rsidR="00812E0F" w:rsidRPr="007824DF" w:rsidRDefault="00812E0F" w:rsidP="00812E0F">
      <w:pPr>
        <w:spacing w:after="120" w:line="240" w:lineRule="auto"/>
        <w:ind w:firstLine="567"/>
        <w:jc w:val="both"/>
        <w:rPr>
          <w:rFonts w:ascii="Times New Roman" w:eastAsiaTheme="minorEastAsia" w:hAnsi="Times New Roman" w:cs="Times New Roman"/>
          <w:sz w:val="24"/>
          <w:szCs w:val="24"/>
          <w:lang w:val="en-US"/>
        </w:rPr>
      </w:pPr>
      <w:r w:rsidRPr="007824DF">
        <w:rPr>
          <w:rFonts w:ascii="Times New Roman" w:eastAsiaTheme="minorEastAsia" w:hAnsi="Times New Roman" w:cs="Times New Roman"/>
          <w:b/>
          <w:sz w:val="24"/>
          <w:szCs w:val="24"/>
          <w:lang w:val="en-US"/>
        </w:rPr>
        <w:t>1. Bank of Russia granted CJSC JSCB National Clearing Center the status of a qualif</w:t>
      </w:r>
      <w:r>
        <w:rPr>
          <w:rFonts w:ascii="Times New Roman" w:eastAsiaTheme="minorEastAsia" w:hAnsi="Times New Roman" w:cs="Times New Roman"/>
          <w:b/>
          <w:sz w:val="24"/>
          <w:szCs w:val="24"/>
          <w:lang w:val="en-US"/>
        </w:rPr>
        <w:t>ying</w:t>
      </w:r>
      <w:r w:rsidRPr="007824DF">
        <w:rPr>
          <w:rFonts w:ascii="Times New Roman" w:eastAsiaTheme="minorEastAsia" w:hAnsi="Times New Roman" w:cs="Times New Roman"/>
          <w:b/>
          <w:sz w:val="24"/>
          <w:szCs w:val="24"/>
          <w:lang w:val="en-US"/>
        </w:rPr>
        <w:t xml:space="preserve"> central counterparty.</w:t>
      </w:r>
      <w:r w:rsidRPr="007824DF">
        <w:rPr>
          <w:rFonts w:ascii="Times New Roman" w:eastAsiaTheme="minorEastAsia" w:hAnsi="Times New Roman" w:cs="Times New Roman"/>
          <w:sz w:val="24"/>
          <w:szCs w:val="24"/>
          <w:lang w:val="en-US"/>
        </w:rPr>
        <w:t xml:space="preserve"> It means that the management level of NCC </w:t>
      </w:r>
      <w:r>
        <w:rPr>
          <w:rFonts w:ascii="Times New Roman" w:eastAsiaTheme="minorEastAsia" w:hAnsi="Times New Roman" w:cs="Times New Roman"/>
          <w:sz w:val="24"/>
          <w:szCs w:val="24"/>
          <w:lang w:val="en-US"/>
        </w:rPr>
        <w:t xml:space="preserve">complies </w:t>
      </w:r>
      <w:proofErr w:type="gramStart"/>
      <w:r>
        <w:rPr>
          <w:rFonts w:ascii="Times New Roman" w:eastAsiaTheme="minorEastAsia" w:hAnsi="Times New Roman" w:cs="Times New Roman"/>
          <w:sz w:val="24"/>
          <w:szCs w:val="24"/>
          <w:lang w:val="en-US"/>
        </w:rPr>
        <w:t xml:space="preserve">with </w:t>
      </w:r>
      <w:r w:rsidRPr="007824DF">
        <w:rPr>
          <w:rFonts w:ascii="Times New Roman" w:eastAsiaTheme="minorEastAsia" w:hAnsi="Times New Roman" w:cs="Times New Roman"/>
          <w:sz w:val="24"/>
          <w:szCs w:val="24"/>
          <w:lang w:val="en-US"/>
        </w:rPr>
        <w:t xml:space="preserve"> the</w:t>
      </w:r>
      <w:proofErr w:type="gramEnd"/>
      <w:r w:rsidRPr="007824DF">
        <w:rPr>
          <w:rFonts w:ascii="Times New Roman" w:eastAsiaTheme="minorEastAsia" w:hAnsi="Times New Roman" w:cs="Times New Roman"/>
          <w:sz w:val="24"/>
          <w:szCs w:val="24"/>
          <w:lang w:val="en-US"/>
        </w:rPr>
        <w:t xml:space="preserve"> state regulatory requirements and </w:t>
      </w:r>
      <w:r>
        <w:rPr>
          <w:rFonts w:ascii="Times New Roman" w:eastAsiaTheme="minorEastAsia" w:hAnsi="Times New Roman" w:cs="Times New Roman"/>
          <w:sz w:val="24"/>
          <w:szCs w:val="24"/>
          <w:lang w:val="en-US"/>
        </w:rPr>
        <w:t>with</w:t>
      </w:r>
      <w:r w:rsidRPr="007824DF">
        <w:rPr>
          <w:rFonts w:ascii="Times New Roman" w:eastAsiaTheme="minorEastAsia" w:hAnsi="Times New Roman" w:cs="Times New Roman"/>
          <w:sz w:val="24"/>
          <w:szCs w:val="24"/>
          <w:lang w:val="en-US"/>
        </w:rPr>
        <w:t xml:space="preserve"> the</w:t>
      </w:r>
      <w:r>
        <w:rPr>
          <w:rFonts w:ascii="Times New Roman" w:eastAsiaTheme="minorEastAsia" w:hAnsi="Times New Roman" w:cs="Times New Roman"/>
          <w:sz w:val="24"/>
          <w:szCs w:val="24"/>
          <w:lang w:val="en-US"/>
        </w:rPr>
        <w:t xml:space="preserve"> recognized in the industry </w:t>
      </w:r>
      <w:r w:rsidRPr="007824DF">
        <w:rPr>
          <w:rFonts w:ascii="Times New Roman" w:eastAsiaTheme="minorEastAsia" w:hAnsi="Times New Roman" w:cs="Times New Roman"/>
          <w:sz w:val="24"/>
          <w:szCs w:val="24"/>
          <w:lang w:val="en-US"/>
        </w:rPr>
        <w:t xml:space="preserve"> international standards for </w:t>
      </w:r>
      <w:r>
        <w:rPr>
          <w:rFonts w:ascii="Times New Roman" w:eastAsiaTheme="minorEastAsia" w:hAnsi="Times New Roman" w:cs="Times New Roman"/>
          <w:sz w:val="24"/>
          <w:szCs w:val="24"/>
          <w:lang w:val="en-US"/>
        </w:rPr>
        <w:t xml:space="preserve">an  activity of </w:t>
      </w:r>
      <w:r w:rsidRPr="007824DF">
        <w:rPr>
          <w:rFonts w:ascii="Times New Roman" w:eastAsiaTheme="minorEastAsia" w:hAnsi="Times New Roman" w:cs="Times New Roman"/>
          <w:sz w:val="24"/>
          <w:szCs w:val="24"/>
          <w:lang w:val="en-US"/>
        </w:rPr>
        <w:t>exchange infrastructure</w:t>
      </w:r>
      <w:r>
        <w:rPr>
          <w:rFonts w:ascii="Times New Roman" w:eastAsiaTheme="minorEastAsia" w:hAnsi="Times New Roman" w:cs="Times New Roman"/>
          <w:sz w:val="24"/>
          <w:szCs w:val="24"/>
          <w:lang w:val="en-US"/>
        </w:rPr>
        <w:t>.</w:t>
      </w:r>
      <w:r w:rsidR="00CC34FD" w:rsidRPr="00CC34F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Be</w:t>
      </w:r>
      <w:r w:rsidRPr="007824DF">
        <w:rPr>
          <w:rFonts w:ascii="Times New Roman" w:eastAsiaTheme="minorEastAsia" w:hAnsi="Times New Roman" w:cs="Times New Roman"/>
          <w:sz w:val="24"/>
          <w:szCs w:val="24"/>
          <w:lang w:val="en-US"/>
        </w:rPr>
        <w:t>sides, th</w:t>
      </w:r>
      <w:r w:rsidR="009F6A25">
        <w:rPr>
          <w:rFonts w:ascii="Times New Roman" w:eastAsiaTheme="minorEastAsia" w:hAnsi="Times New Roman" w:cs="Times New Roman"/>
          <w:sz w:val="24"/>
          <w:szCs w:val="24"/>
          <w:lang w:val="en-US"/>
        </w:rPr>
        <w:t>e</w:t>
      </w:r>
      <w:r w:rsidRPr="007824DF">
        <w:rPr>
          <w:rFonts w:ascii="Times New Roman" w:eastAsiaTheme="minorEastAsia" w:hAnsi="Times New Roman" w:cs="Times New Roman"/>
          <w:sz w:val="24"/>
          <w:szCs w:val="24"/>
          <w:lang w:val="en-US"/>
        </w:rPr>
        <w:t xml:space="preserve"> qualification creates conditions </w:t>
      </w:r>
      <w:r>
        <w:rPr>
          <w:rFonts w:ascii="Times New Roman" w:eastAsiaTheme="minorEastAsia" w:hAnsi="Times New Roman" w:cs="Times New Roman"/>
          <w:sz w:val="24"/>
          <w:szCs w:val="24"/>
          <w:lang w:val="en-US"/>
        </w:rPr>
        <w:t>to</w:t>
      </w:r>
      <w:r w:rsidRPr="007824DF">
        <w:rPr>
          <w:rFonts w:ascii="Times New Roman" w:eastAsiaTheme="minorEastAsia" w:hAnsi="Times New Roman" w:cs="Times New Roman"/>
          <w:sz w:val="24"/>
          <w:szCs w:val="24"/>
          <w:lang w:val="en-US"/>
        </w:rPr>
        <w:t xml:space="preserve"> increase </w:t>
      </w:r>
      <w:r>
        <w:rPr>
          <w:rFonts w:ascii="Times New Roman" w:eastAsiaTheme="minorEastAsia" w:hAnsi="Times New Roman" w:cs="Times New Roman"/>
          <w:sz w:val="24"/>
          <w:szCs w:val="24"/>
          <w:lang w:val="en-US"/>
        </w:rPr>
        <w:t>the</w:t>
      </w:r>
      <w:r w:rsidRPr="007824DF">
        <w:rPr>
          <w:rFonts w:ascii="Times New Roman" w:eastAsiaTheme="minorEastAsia" w:hAnsi="Times New Roman" w:cs="Times New Roman"/>
          <w:sz w:val="24"/>
          <w:szCs w:val="24"/>
          <w:lang w:val="en-US"/>
        </w:rPr>
        <w:t xml:space="preserve"> efficiency of </w:t>
      </w:r>
      <w:r>
        <w:rPr>
          <w:rFonts w:ascii="Times New Roman" w:eastAsiaTheme="minorEastAsia" w:hAnsi="Times New Roman" w:cs="Times New Roman"/>
          <w:sz w:val="24"/>
          <w:szCs w:val="24"/>
          <w:lang w:val="en-US"/>
        </w:rPr>
        <w:t xml:space="preserve"> </w:t>
      </w:r>
      <w:r w:rsidRPr="007824DF">
        <w:rPr>
          <w:rFonts w:ascii="Times New Roman" w:eastAsiaTheme="minorEastAsia" w:hAnsi="Times New Roman" w:cs="Times New Roman"/>
          <w:sz w:val="24"/>
          <w:szCs w:val="24"/>
          <w:lang w:val="en-US"/>
        </w:rPr>
        <w:t xml:space="preserve"> members</w:t>
      </w:r>
      <w:r>
        <w:rPr>
          <w:rFonts w:ascii="Times New Roman" w:eastAsiaTheme="minorEastAsia" w:hAnsi="Times New Roman" w:cs="Times New Roman"/>
          <w:sz w:val="24"/>
          <w:szCs w:val="24"/>
          <w:lang w:val="en-US"/>
        </w:rPr>
        <w:t>’</w:t>
      </w:r>
      <w:r w:rsidRPr="007824DF">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activity </w:t>
      </w:r>
      <w:r w:rsidRPr="007824DF">
        <w:rPr>
          <w:rFonts w:ascii="Times New Roman" w:eastAsiaTheme="minorEastAsia" w:hAnsi="Times New Roman" w:cs="Times New Roman"/>
          <w:sz w:val="24"/>
          <w:szCs w:val="24"/>
          <w:lang w:val="en-US"/>
        </w:rPr>
        <w:t xml:space="preserve">in the market: Russian clearing members – credit institutions received an opportunity to cut back requirements to the capital regarding trades with NCC as well as </w:t>
      </w:r>
      <w:r>
        <w:rPr>
          <w:rFonts w:ascii="Times New Roman" w:eastAsiaTheme="minorEastAsia" w:hAnsi="Times New Roman" w:cs="Times New Roman"/>
          <w:sz w:val="24"/>
          <w:szCs w:val="24"/>
          <w:lang w:val="en-US"/>
        </w:rPr>
        <w:t xml:space="preserve">in regard to the </w:t>
      </w:r>
      <w:r w:rsidRPr="007824DF">
        <w:rPr>
          <w:rFonts w:ascii="Times New Roman" w:eastAsiaTheme="minorEastAsia" w:hAnsi="Times New Roman" w:cs="Times New Roman"/>
          <w:sz w:val="24"/>
          <w:szCs w:val="24"/>
          <w:lang w:val="en-US"/>
        </w:rPr>
        <w:t xml:space="preserve">collateral depositing </w:t>
      </w:r>
      <w:r>
        <w:rPr>
          <w:rFonts w:ascii="Times New Roman" w:eastAsiaTheme="minorEastAsia" w:hAnsi="Times New Roman" w:cs="Times New Roman"/>
          <w:sz w:val="24"/>
          <w:szCs w:val="24"/>
          <w:lang w:val="en-US"/>
        </w:rPr>
        <w:t>on</w:t>
      </w:r>
      <w:r w:rsidRPr="007824DF">
        <w:rPr>
          <w:rFonts w:ascii="Times New Roman" w:eastAsiaTheme="minorEastAsia" w:hAnsi="Times New Roman" w:cs="Times New Roman"/>
          <w:sz w:val="24"/>
          <w:szCs w:val="24"/>
          <w:lang w:val="en-US"/>
        </w:rPr>
        <w:t xml:space="preserve"> the accounts opened with NCC.</w:t>
      </w:r>
    </w:p>
    <w:p w:rsidR="00812E0F" w:rsidRPr="007824DF" w:rsidRDefault="00812E0F" w:rsidP="00812E0F">
      <w:pPr>
        <w:spacing w:after="120" w:line="240" w:lineRule="auto"/>
        <w:ind w:firstLine="567"/>
        <w:jc w:val="both"/>
        <w:rPr>
          <w:rFonts w:ascii="Times New Roman" w:eastAsiaTheme="minorEastAsia" w:hAnsi="Times New Roman" w:cs="Times New Roman"/>
          <w:sz w:val="24"/>
          <w:szCs w:val="24"/>
          <w:lang w:val="en-US"/>
        </w:rPr>
      </w:pPr>
      <w:r w:rsidRPr="007824DF">
        <w:rPr>
          <w:rFonts w:ascii="Times New Roman" w:eastAsiaTheme="minorEastAsia" w:hAnsi="Times New Roman" w:cs="Times New Roman"/>
          <w:b/>
          <w:sz w:val="24"/>
          <w:szCs w:val="24"/>
          <w:lang w:val="en-US"/>
        </w:rPr>
        <w:t xml:space="preserve">2. </w:t>
      </w:r>
      <w:r>
        <w:rPr>
          <w:rFonts w:ascii="Times New Roman" w:eastAsiaTheme="minorEastAsia" w:hAnsi="Times New Roman" w:cs="Times New Roman"/>
          <w:b/>
          <w:sz w:val="24"/>
          <w:szCs w:val="24"/>
          <w:lang w:val="en-US"/>
        </w:rPr>
        <w:t>Start of c</w:t>
      </w:r>
      <w:r w:rsidRPr="007824DF">
        <w:rPr>
          <w:rFonts w:ascii="Times New Roman" w:eastAsiaTheme="minorEastAsia" w:hAnsi="Times New Roman" w:cs="Times New Roman"/>
          <w:b/>
          <w:sz w:val="24"/>
          <w:szCs w:val="24"/>
          <w:lang w:val="en-US"/>
        </w:rPr>
        <w:t>learing with partial collateral with T+2 settlements in the securities market of Moscow Exchange</w:t>
      </w:r>
      <w:r w:rsidRPr="007824DF">
        <w:rPr>
          <w:rFonts w:ascii="Times New Roman" w:eastAsiaTheme="minorEastAsia" w:hAnsi="Times New Roman" w:cs="Times New Roman"/>
          <w:sz w:val="24"/>
          <w:szCs w:val="24"/>
          <w:lang w:val="en-US"/>
        </w:rPr>
        <w:t xml:space="preserve"> that allows </w:t>
      </w:r>
      <w:r>
        <w:rPr>
          <w:rFonts w:ascii="Times New Roman" w:eastAsiaTheme="minorEastAsia" w:hAnsi="Times New Roman" w:cs="Times New Roman"/>
          <w:sz w:val="24"/>
          <w:szCs w:val="24"/>
          <w:lang w:val="en-US"/>
        </w:rPr>
        <w:t xml:space="preserve">to </w:t>
      </w:r>
      <w:r w:rsidRPr="007824DF">
        <w:rPr>
          <w:rFonts w:ascii="Times New Roman" w:eastAsiaTheme="minorEastAsia" w:hAnsi="Times New Roman" w:cs="Times New Roman"/>
          <w:sz w:val="24"/>
          <w:szCs w:val="24"/>
          <w:lang w:val="en-US"/>
        </w:rPr>
        <w:t>decrease</w:t>
      </w:r>
      <w:r>
        <w:rPr>
          <w:rFonts w:ascii="Times New Roman" w:eastAsiaTheme="minorEastAsia" w:hAnsi="Times New Roman" w:cs="Times New Roman"/>
          <w:sz w:val="24"/>
          <w:szCs w:val="24"/>
          <w:lang w:val="en-US"/>
        </w:rPr>
        <w:t xml:space="preserve"> </w:t>
      </w:r>
      <w:r w:rsidRPr="007824DF">
        <w:rPr>
          <w:rFonts w:ascii="Times New Roman" w:eastAsiaTheme="minorEastAsia" w:hAnsi="Times New Roman" w:cs="Times New Roman"/>
          <w:sz w:val="24"/>
          <w:szCs w:val="24"/>
          <w:lang w:val="en-US"/>
        </w:rPr>
        <w:t>expenses of market members on operations funding, increase market’s liquidity, make a model of clients’ service less expensive</w:t>
      </w:r>
      <w:r w:rsidR="009F6A25">
        <w:rPr>
          <w:rFonts w:ascii="Times New Roman" w:eastAsiaTheme="minorEastAsia" w:hAnsi="Times New Roman" w:cs="Times New Roman"/>
          <w:sz w:val="24"/>
          <w:szCs w:val="24"/>
          <w:lang w:val="en-US"/>
        </w:rPr>
        <w:t>,</w:t>
      </w:r>
      <w:r w:rsidRPr="007824DF">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preserving</w:t>
      </w:r>
      <w:r w:rsidRPr="007824DF">
        <w:rPr>
          <w:rFonts w:ascii="Times New Roman" w:eastAsiaTheme="minorEastAsia" w:hAnsi="Times New Roman" w:cs="Times New Roman"/>
          <w:sz w:val="24"/>
          <w:szCs w:val="24"/>
          <w:lang w:val="en-US"/>
        </w:rPr>
        <w:t xml:space="preserve"> </w:t>
      </w:r>
      <w:proofErr w:type="gramStart"/>
      <w:r w:rsidRPr="007824DF">
        <w:rPr>
          <w:rFonts w:ascii="Times New Roman" w:eastAsiaTheme="minorEastAsia" w:hAnsi="Times New Roman" w:cs="Times New Roman"/>
          <w:sz w:val="24"/>
          <w:szCs w:val="24"/>
          <w:lang w:val="en-US"/>
        </w:rPr>
        <w:t>all  advantages</w:t>
      </w:r>
      <w:proofErr w:type="gramEnd"/>
      <w:r w:rsidRPr="007824DF">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of the market </w:t>
      </w:r>
      <w:r w:rsidRPr="007824DF">
        <w:rPr>
          <w:rFonts w:ascii="Times New Roman" w:eastAsiaTheme="minorEastAsia" w:hAnsi="Times New Roman" w:cs="Times New Roman"/>
          <w:sz w:val="24"/>
          <w:szCs w:val="24"/>
          <w:lang w:val="en-US"/>
        </w:rPr>
        <w:t xml:space="preserve">with the central counterparty – NCC </w:t>
      </w:r>
      <w:r>
        <w:rPr>
          <w:rFonts w:ascii="Times New Roman" w:eastAsiaTheme="minorEastAsia" w:hAnsi="Times New Roman" w:cs="Times New Roman"/>
          <w:sz w:val="24"/>
          <w:szCs w:val="24"/>
          <w:lang w:val="en-US"/>
        </w:rPr>
        <w:t>that</w:t>
      </w:r>
      <w:r w:rsidRPr="007824DF">
        <w:rPr>
          <w:rFonts w:ascii="Times New Roman" w:eastAsiaTheme="minorEastAsia" w:hAnsi="Times New Roman" w:cs="Times New Roman"/>
          <w:sz w:val="24"/>
          <w:szCs w:val="24"/>
          <w:lang w:val="en-US"/>
        </w:rPr>
        <w:t xml:space="preserve"> guarantees fulfillment of the obligations towards each</w:t>
      </w:r>
      <w:r w:rsidR="00CC34FD" w:rsidRPr="00CC34F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fair</w:t>
      </w:r>
      <w:r w:rsidRPr="007824DF">
        <w:rPr>
          <w:rFonts w:ascii="Times New Roman" w:eastAsiaTheme="minorEastAsia" w:hAnsi="Times New Roman" w:cs="Times New Roman"/>
          <w:sz w:val="24"/>
          <w:szCs w:val="24"/>
          <w:lang w:val="en-US"/>
        </w:rPr>
        <w:t xml:space="preserve"> clearing and trading member.</w:t>
      </w:r>
    </w:p>
    <w:p w:rsidR="00812E0F" w:rsidRPr="007824DF" w:rsidRDefault="00812E0F" w:rsidP="00812E0F">
      <w:pPr>
        <w:spacing w:after="120" w:line="240" w:lineRule="auto"/>
        <w:ind w:firstLine="567"/>
        <w:jc w:val="both"/>
        <w:rPr>
          <w:rFonts w:ascii="Times New Roman" w:eastAsiaTheme="minorEastAsia" w:hAnsi="Times New Roman" w:cs="Times New Roman"/>
          <w:sz w:val="24"/>
          <w:szCs w:val="24"/>
          <w:lang w:val="en-US"/>
        </w:rPr>
      </w:pPr>
      <w:r w:rsidRPr="007824DF">
        <w:rPr>
          <w:rFonts w:ascii="Times New Roman" w:eastAsiaTheme="minorEastAsia" w:hAnsi="Times New Roman" w:cs="Times New Roman"/>
          <w:b/>
          <w:sz w:val="24"/>
          <w:szCs w:val="24"/>
          <w:lang w:val="en-US"/>
        </w:rPr>
        <w:t xml:space="preserve">3. </w:t>
      </w:r>
      <w:r>
        <w:rPr>
          <w:rFonts w:ascii="Times New Roman" w:eastAsiaTheme="minorEastAsia" w:hAnsi="Times New Roman" w:cs="Times New Roman"/>
          <w:b/>
          <w:sz w:val="24"/>
          <w:szCs w:val="24"/>
          <w:lang w:val="en-US"/>
        </w:rPr>
        <w:t xml:space="preserve">Introduction </w:t>
      </w:r>
      <w:r w:rsidRPr="007824DF">
        <w:rPr>
          <w:rFonts w:ascii="Times New Roman" w:eastAsiaTheme="minorEastAsia" w:hAnsi="Times New Roman" w:cs="Times New Roman"/>
          <w:b/>
          <w:sz w:val="24"/>
          <w:szCs w:val="24"/>
          <w:lang w:val="en-US"/>
        </w:rPr>
        <w:t>of the clearing project on REPO tra</w:t>
      </w:r>
      <w:r>
        <w:rPr>
          <w:rFonts w:ascii="Times New Roman" w:eastAsiaTheme="minorEastAsia" w:hAnsi="Times New Roman" w:cs="Times New Roman"/>
          <w:b/>
          <w:sz w:val="24"/>
          <w:szCs w:val="24"/>
          <w:lang w:val="en-US"/>
        </w:rPr>
        <w:t xml:space="preserve">nsactions </w:t>
      </w:r>
      <w:r w:rsidRPr="007824DF">
        <w:rPr>
          <w:rFonts w:ascii="Times New Roman" w:eastAsiaTheme="minorEastAsia" w:hAnsi="Times New Roman" w:cs="Times New Roman"/>
          <w:b/>
          <w:sz w:val="24"/>
          <w:szCs w:val="24"/>
          <w:lang w:val="en-US"/>
        </w:rPr>
        <w:t>with the central counterparty</w:t>
      </w:r>
      <w:r w:rsidRPr="007824DF">
        <w:rPr>
          <w:rFonts w:ascii="Times New Roman" w:eastAsiaTheme="minorEastAsia" w:hAnsi="Times New Roman" w:cs="Times New Roman"/>
          <w:sz w:val="24"/>
          <w:szCs w:val="24"/>
          <w:lang w:val="en-US"/>
        </w:rPr>
        <w:t xml:space="preserve"> with gradual expansion of the range of securities serviced. This project made possible to create a full operating REPO market and decrease members’ risks due to </w:t>
      </w:r>
      <w:r>
        <w:rPr>
          <w:rFonts w:ascii="Times New Roman" w:eastAsiaTheme="minorEastAsia" w:hAnsi="Times New Roman" w:cs="Times New Roman"/>
          <w:sz w:val="24"/>
          <w:szCs w:val="24"/>
          <w:lang w:val="en-US"/>
        </w:rPr>
        <w:t xml:space="preserve">the </w:t>
      </w:r>
      <w:r w:rsidRPr="007824DF">
        <w:rPr>
          <w:rFonts w:ascii="Times New Roman" w:eastAsiaTheme="minorEastAsia" w:hAnsi="Times New Roman" w:cs="Times New Roman"/>
          <w:sz w:val="24"/>
          <w:szCs w:val="24"/>
          <w:lang w:val="en-US"/>
        </w:rPr>
        <w:t>centralization of the risk management system assumed by the central counterparty.</w:t>
      </w:r>
    </w:p>
    <w:p w:rsidR="00812E0F" w:rsidRPr="001140AF" w:rsidRDefault="00812E0F" w:rsidP="00812E0F">
      <w:pPr>
        <w:spacing w:after="120" w:line="240" w:lineRule="auto"/>
        <w:ind w:firstLine="567"/>
        <w:jc w:val="both"/>
        <w:rPr>
          <w:rFonts w:ascii="Times New Roman" w:eastAsia="Calibri" w:hAnsi="Times New Roman" w:cs="Times New Roman"/>
          <w:sz w:val="24"/>
          <w:szCs w:val="24"/>
          <w:lang w:val="en-US" w:eastAsia="ru-RU"/>
        </w:rPr>
      </w:pPr>
      <w:r w:rsidRPr="006D1498">
        <w:rPr>
          <w:rFonts w:ascii="Times New Roman" w:eastAsiaTheme="minorEastAsia" w:hAnsi="Times New Roman" w:cs="Times New Roman"/>
          <w:b/>
          <w:sz w:val="24"/>
          <w:szCs w:val="24"/>
          <w:lang w:val="en-US"/>
        </w:rPr>
        <w:t xml:space="preserve">4. International rating agency Fitch Ratings </w:t>
      </w:r>
      <w:proofErr w:type="gramStart"/>
      <w:r w:rsidRPr="006D1498">
        <w:rPr>
          <w:rFonts w:ascii="Times New Roman" w:eastAsiaTheme="minorEastAsia" w:hAnsi="Times New Roman" w:cs="Times New Roman"/>
          <w:b/>
          <w:sz w:val="24"/>
          <w:szCs w:val="24"/>
          <w:lang w:val="en-US"/>
        </w:rPr>
        <w:t xml:space="preserve">upgraded </w:t>
      </w:r>
      <w:r w:rsidR="00970843">
        <w:rPr>
          <w:rFonts w:ascii="Times New Roman" w:eastAsiaTheme="minorEastAsia" w:hAnsi="Times New Roman" w:cs="Times New Roman"/>
          <w:b/>
          <w:sz w:val="24"/>
          <w:szCs w:val="24"/>
          <w:lang w:val="en-US"/>
        </w:rPr>
        <w:t xml:space="preserve"> </w:t>
      </w:r>
      <w:r w:rsidRPr="006D1498">
        <w:rPr>
          <w:rFonts w:ascii="Times New Roman" w:eastAsiaTheme="minorEastAsia" w:hAnsi="Times New Roman" w:cs="Times New Roman"/>
          <w:b/>
          <w:sz w:val="24"/>
          <w:szCs w:val="24"/>
          <w:lang w:val="en-US"/>
        </w:rPr>
        <w:t>NCC</w:t>
      </w:r>
      <w:proofErr w:type="gramEnd"/>
      <w:r w:rsidRPr="006D1498">
        <w:rPr>
          <w:rFonts w:ascii="Times New Roman" w:eastAsiaTheme="minorEastAsia" w:hAnsi="Times New Roman" w:cs="Times New Roman"/>
          <w:b/>
          <w:sz w:val="24"/>
          <w:szCs w:val="24"/>
          <w:lang w:val="en-US"/>
        </w:rPr>
        <w:t xml:space="preserve">  long-term default issuer rating</w:t>
      </w:r>
      <w:r w:rsidRPr="006D1498">
        <w:rPr>
          <w:rFonts w:ascii="Times New Roman" w:eastAsiaTheme="minorEastAsia" w:hAnsi="Times New Roman" w:cs="Times New Roman"/>
          <w:sz w:val="24"/>
          <w:szCs w:val="24"/>
          <w:lang w:val="en-US"/>
        </w:rPr>
        <w:t xml:space="preserve">   </w:t>
      </w:r>
      <w:r w:rsidRPr="006D1498">
        <w:rPr>
          <w:rFonts w:ascii="Times New Roman" w:eastAsia="Times New Roman" w:hAnsi="Times New Roman" w:cs="Times New Roman"/>
          <w:sz w:val="24"/>
          <w:szCs w:val="24"/>
          <w:lang w:val="en-US"/>
        </w:rPr>
        <w:t xml:space="preserve">to a sovereign credit rating level </w:t>
      </w:r>
      <w:r w:rsidRPr="006D1498">
        <w:rPr>
          <w:rFonts w:ascii="Times New Roman" w:eastAsiaTheme="minorEastAsia" w:hAnsi="Times New Roman" w:cs="Times New Roman"/>
          <w:sz w:val="24"/>
          <w:szCs w:val="24"/>
          <w:lang w:val="en-US"/>
        </w:rPr>
        <w:t xml:space="preserve">of the Russian Federation – to “BBB" from “BBB-" with “Stable" outlook. According to </w:t>
      </w:r>
      <w:r w:rsidR="009F6A25">
        <w:rPr>
          <w:rFonts w:ascii="Times New Roman" w:eastAsiaTheme="minorEastAsia" w:hAnsi="Times New Roman" w:cs="Times New Roman"/>
          <w:sz w:val="24"/>
          <w:szCs w:val="24"/>
          <w:lang w:val="en-US"/>
        </w:rPr>
        <w:t xml:space="preserve">the </w:t>
      </w:r>
      <w:r w:rsidRPr="006D1498">
        <w:rPr>
          <w:rFonts w:ascii="Times New Roman" w:eastAsiaTheme="minorEastAsia" w:hAnsi="Times New Roman" w:cs="Times New Roman"/>
          <w:sz w:val="24"/>
          <w:szCs w:val="24"/>
          <w:lang w:val="en-US"/>
        </w:rPr>
        <w:t>Fitch Ratings experts</w:t>
      </w:r>
      <w:r w:rsidR="00CC34FD">
        <w:rPr>
          <w:rFonts w:ascii="Times New Roman" w:eastAsiaTheme="minorEastAsia" w:hAnsi="Times New Roman" w:cs="Times New Roman"/>
          <w:sz w:val="24"/>
          <w:szCs w:val="24"/>
          <w:lang w:val="en-US"/>
        </w:rPr>
        <w:t>,</w:t>
      </w:r>
      <w:r w:rsidRPr="00953626">
        <w:rPr>
          <w:rFonts w:ascii="Times New Roman" w:hAnsi="Times New Roman" w:cs="Times New Roman"/>
          <w:color w:val="000000"/>
          <w:sz w:val="24"/>
          <w:szCs w:val="24"/>
          <w:lang w:val="en-US"/>
        </w:rPr>
        <w:t xml:space="preserve"> NCC could withstand the defaults of its largest 40 counterparties without requiring capital support.</w:t>
      </w:r>
      <w:r w:rsidRPr="006D1498">
        <w:rPr>
          <w:rFonts w:ascii="Times New Roman" w:eastAsiaTheme="minorEastAsia" w:hAnsi="Times New Roman" w:cs="Times New Roman"/>
          <w:sz w:val="24"/>
          <w:szCs w:val="24"/>
          <w:lang w:val="en-US"/>
        </w:rPr>
        <w:t xml:space="preserve"> This indicator of NCC’s financial stability is significantly higher than an analogue indicator defined by the Principles for Financial Markets Infrastructure</w:t>
      </w:r>
      <w:r>
        <w:rPr>
          <w:rFonts w:ascii="Times New Roman" w:eastAsiaTheme="minorEastAsia" w:hAnsi="Times New Roman" w:cs="Times New Roman"/>
          <w:sz w:val="24"/>
          <w:szCs w:val="24"/>
          <w:lang w:val="en-US"/>
        </w:rPr>
        <w:t xml:space="preserve"> </w:t>
      </w:r>
      <w:proofErr w:type="gramStart"/>
      <w:r>
        <w:rPr>
          <w:rFonts w:ascii="Times New Roman" w:eastAsiaTheme="minorEastAsia" w:hAnsi="Times New Roman" w:cs="Times New Roman"/>
          <w:sz w:val="24"/>
          <w:szCs w:val="24"/>
          <w:lang w:val="en-US"/>
        </w:rPr>
        <w:t xml:space="preserve">of </w:t>
      </w:r>
      <w:r w:rsidRPr="006D1498">
        <w:rPr>
          <w:rFonts w:ascii="Times New Roman" w:eastAsiaTheme="minorEastAsia" w:hAnsi="Times New Roman" w:cs="Times New Roman"/>
          <w:sz w:val="24"/>
          <w:szCs w:val="24"/>
          <w:lang w:val="en-US"/>
        </w:rPr>
        <w:t xml:space="preserve"> </w:t>
      </w:r>
      <w:r w:rsidRPr="006D1498">
        <w:rPr>
          <w:rFonts w:ascii="Times New Roman" w:eastAsia="Calibri" w:hAnsi="Times New Roman" w:cs="Times New Roman"/>
          <w:sz w:val="24"/>
          <w:szCs w:val="24"/>
          <w:lang w:val="en-US" w:eastAsia="ru-RU"/>
        </w:rPr>
        <w:t>CPSS</w:t>
      </w:r>
      <w:proofErr w:type="gramEnd"/>
      <w:r w:rsidRPr="006D1498">
        <w:rPr>
          <w:rFonts w:ascii="Times New Roman" w:eastAsia="Calibri" w:hAnsi="Times New Roman" w:cs="Times New Roman"/>
          <w:sz w:val="24"/>
          <w:szCs w:val="24"/>
          <w:lang w:val="en-US" w:eastAsia="ru-RU"/>
        </w:rPr>
        <w:t xml:space="preserve">-IOSCO and Russian regulation requiring from the CCP to be prepared to absorb losses in case of default of two </w:t>
      </w:r>
      <w:r>
        <w:rPr>
          <w:rFonts w:ascii="Times New Roman" w:eastAsia="Calibri" w:hAnsi="Times New Roman" w:cs="Times New Roman"/>
          <w:sz w:val="24"/>
          <w:szCs w:val="24"/>
          <w:lang w:val="en-US" w:eastAsia="ru-RU"/>
        </w:rPr>
        <w:t>largest</w:t>
      </w:r>
      <w:r w:rsidRPr="006D1498">
        <w:rPr>
          <w:rFonts w:ascii="Times New Roman" w:eastAsia="Calibri" w:hAnsi="Times New Roman" w:cs="Times New Roman"/>
          <w:sz w:val="24"/>
          <w:szCs w:val="24"/>
          <w:lang w:val="en-US" w:eastAsia="ru-RU"/>
        </w:rPr>
        <w:t xml:space="preserve"> clearing members in extreme but</w:t>
      </w:r>
      <w:r w:rsidRPr="00953626">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 xml:space="preserve">acceptable </w:t>
      </w:r>
      <w:r w:rsidRPr="006D1498">
        <w:rPr>
          <w:rFonts w:ascii="Times New Roman" w:eastAsia="Calibri" w:hAnsi="Times New Roman" w:cs="Times New Roman"/>
          <w:sz w:val="24"/>
          <w:szCs w:val="24"/>
          <w:lang w:val="en-US" w:eastAsia="ru-RU"/>
        </w:rPr>
        <w:t xml:space="preserve"> market conditions.</w:t>
      </w:r>
    </w:p>
    <w:p w:rsidR="00812E0F" w:rsidRPr="007824DF" w:rsidRDefault="00812E0F" w:rsidP="00812E0F">
      <w:pPr>
        <w:spacing w:after="120" w:line="240" w:lineRule="auto"/>
        <w:ind w:firstLine="567"/>
        <w:jc w:val="both"/>
        <w:rPr>
          <w:rFonts w:ascii="Times New Roman" w:eastAsiaTheme="minorEastAsia" w:hAnsi="Times New Roman" w:cs="Times New Roman"/>
          <w:sz w:val="24"/>
          <w:szCs w:val="24"/>
          <w:lang w:val="en-US"/>
        </w:rPr>
      </w:pPr>
      <w:r w:rsidRPr="007824DF">
        <w:rPr>
          <w:rFonts w:ascii="Times New Roman" w:eastAsiaTheme="minorEastAsia" w:hAnsi="Times New Roman" w:cs="Times New Roman"/>
          <w:b/>
          <w:sz w:val="24"/>
          <w:szCs w:val="24"/>
          <w:lang w:val="en-US"/>
        </w:rPr>
        <w:t>5. Development and introduction of the recovery plan for financial stability in accordance with the recommendations of Bank of Russia.</w:t>
      </w:r>
      <w:r w:rsidRPr="007824DF">
        <w:rPr>
          <w:rFonts w:ascii="Times New Roman" w:eastAsiaTheme="minorEastAsia" w:hAnsi="Times New Roman" w:cs="Times New Roman"/>
          <w:sz w:val="24"/>
          <w:szCs w:val="24"/>
          <w:lang w:val="en-US"/>
        </w:rPr>
        <w:t xml:space="preserve"> Development and introduction of th</w:t>
      </w:r>
      <w:r w:rsidR="009F6A25">
        <w:rPr>
          <w:rFonts w:ascii="Times New Roman" w:eastAsiaTheme="minorEastAsia" w:hAnsi="Times New Roman" w:cs="Times New Roman"/>
          <w:sz w:val="24"/>
          <w:szCs w:val="24"/>
          <w:lang w:val="en-US"/>
        </w:rPr>
        <w:t>e</w:t>
      </w:r>
      <w:r w:rsidRPr="007824DF">
        <w:rPr>
          <w:rFonts w:ascii="Times New Roman" w:eastAsiaTheme="minorEastAsia" w:hAnsi="Times New Roman" w:cs="Times New Roman"/>
          <w:sz w:val="24"/>
          <w:szCs w:val="24"/>
          <w:lang w:val="en-US"/>
        </w:rPr>
        <w:t xml:space="preserve"> plan is an important element of the risk management system for NCC as a systematically significant credit institution. This document stipulates the measures</w:t>
      </w:r>
      <w:r>
        <w:rPr>
          <w:rFonts w:ascii="Times New Roman" w:eastAsiaTheme="minorEastAsia" w:hAnsi="Times New Roman" w:cs="Times New Roman"/>
          <w:sz w:val="24"/>
          <w:szCs w:val="24"/>
          <w:lang w:val="en-US"/>
        </w:rPr>
        <w:t>,</w:t>
      </w:r>
      <w:r w:rsidRPr="007824DF">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taken notice </w:t>
      </w:r>
      <w:r w:rsidRPr="007824DF">
        <w:rPr>
          <w:rFonts w:ascii="Times New Roman" w:eastAsiaTheme="minorEastAsia" w:hAnsi="Times New Roman" w:cs="Times New Roman"/>
          <w:sz w:val="24"/>
          <w:szCs w:val="24"/>
          <w:lang w:val="en-US"/>
        </w:rPr>
        <w:t xml:space="preserve"> by Bank of Russia</w:t>
      </w:r>
      <w:r>
        <w:rPr>
          <w:rFonts w:ascii="Times New Roman" w:eastAsiaTheme="minorEastAsia" w:hAnsi="Times New Roman" w:cs="Times New Roman"/>
          <w:sz w:val="24"/>
          <w:szCs w:val="24"/>
          <w:lang w:val="en-US"/>
        </w:rPr>
        <w:t>,</w:t>
      </w:r>
      <w:r w:rsidRPr="007824DF">
        <w:rPr>
          <w:rFonts w:ascii="Times New Roman" w:eastAsiaTheme="minorEastAsia" w:hAnsi="Times New Roman" w:cs="Times New Roman"/>
          <w:sz w:val="24"/>
          <w:szCs w:val="24"/>
          <w:lang w:val="en-US"/>
        </w:rPr>
        <w:t xml:space="preserve"> on</w:t>
      </w:r>
      <w:r>
        <w:rPr>
          <w:rFonts w:ascii="Times New Roman" w:eastAsiaTheme="minorEastAsia" w:hAnsi="Times New Roman" w:cs="Times New Roman"/>
          <w:sz w:val="24"/>
          <w:szCs w:val="24"/>
          <w:lang w:val="en-US"/>
        </w:rPr>
        <w:t xml:space="preserve"> </w:t>
      </w:r>
      <w:r w:rsidRPr="007824DF">
        <w:rPr>
          <w:rFonts w:ascii="Times New Roman" w:eastAsiaTheme="minorEastAsia" w:hAnsi="Times New Roman" w:cs="Times New Roman"/>
          <w:sz w:val="24"/>
          <w:szCs w:val="24"/>
          <w:lang w:val="en-US"/>
        </w:rPr>
        <w:t xml:space="preserve"> recovery of financial stability and </w:t>
      </w:r>
      <w:r w:rsidRPr="002D7343">
        <w:rPr>
          <w:rFonts w:ascii="Times New Roman" w:eastAsiaTheme="minorEastAsia" w:hAnsi="Times New Roman" w:cs="Times New Roman"/>
          <w:sz w:val="24"/>
          <w:szCs w:val="24"/>
          <w:lang w:val="en-US"/>
        </w:rPr>
        <w:t xml:space="preserve">maintenance </w:t>
      </w:r>
      <w:r w:rsidRPr="007824DF">
        <w:rPr>
          <w:rFonts w:ascii="Times New Roman" w:eastAsiaTheme="minorEastAsia" w:hAnsi="Times New Roman" w:cs="Times New Roman"/>
          <w:sz w:val="24"/>
          <w:szCs w:val="24"/>
          <w:lang w:val="en-US"/>
        </w:rPr>
        <w:t>of  credit institution’s functions continuity in case of significant deterioration of its financial status with instruments and methods available</w:t>
      </w:r>
      <w:r>
        <w:rPr>
          <w:rFonts w:ascii="Times New Roman" w:eastAsiaTheme="minorEastAsia" w:hAnsi="Times New Roman" w:cs="Times New Roman"/>
          <w:sz w:val="24"/>
          <w:szCs w:val="24"/>
          <w:lang w:val="en-US"/>
        </w:rPr>
        <w:t xml:space="preserve"> to a credit organization</w:t>
      </w:r>
      <w:r w:rsidRPr="007824DF">
        <w:rPr>
          <w:rFonts w:ascii="Times New Roman" w:eastAsiaTheme="minorEastAsia" w:hAnsi="Times New Roman" w:cs="Times New Roman"/>
          <w:sz w:val="24"/>
          <w:szCs w:val="24"/>
          <w:lang w:val="en-US"/>
        </w:rPr>
        <w:t xml:space="preserve">. The plan </w:t>
      </w:r>
      <w:r>
        <w:rPr>
          <w:rFonts w:ascii="Times New Roman" w:eastAsiaTheme="minorEastAsia" w:hAnsi="Times New Roman" w:cs="Times New Roman"/>
          <w:sz w:val="24"/>
          <w:szCs w:val="24"/>
          <w:lang w:val="en-US"/>
        </w:rPr>
        <w:t>defines</w:t>
      </w:r>
      <w:r w:rsidRPr="007824DF">
        <w:rPr>
          <w:rFonts w:ascii="Times New Roman" w:eastAsiaTheme="minorEastAsia" w:hAnsi="Times New Roman" w:cs="Times New Roman"/>
          <w:sz w:val="24"/>
          <w:szCs w:val="24"/>
          <w:lang w:val="en-US"/>
        </w:rPr>
        <w:t xml:space="preserve"> several main scenarios each of them setting the conditions for implementation, risks, indicators and measures </w:t>
      </w:r>
      <w:r>
        <w:rPr>
          <w:rFonts w:ascii="Times New Roman" w:eastAsiaTheme="minorEastAsia" w:hAnsi="Times New Roman" w:cs="Times New Roman"/>
          <w:sz w:val="24"/>
          <w:szCs w:val="24"/>
          <w:lang w:val="en-US"/>
        </w:rPr>
        <w:t>adequate to</w:t>
      </w:r>
      <w:r w:rsidRPr="007824DF">
        <w:rPr>
          <w:rFonts w:ascii="Times New Roman" w:eastAsiaTheme="minorEastAsia" w:hAnsi="Times New Roman" w:cs="Times New Roman"/>
          <w:sz w:val="24"/>
          <w:szCs w:val="24"/>
          <w:lang w:val="en-US"/>
        </w:rPr>
        <w:t xml:space="preserve"> the scenario and </w:t>
      </w:r>
      <w:r>
        <w:rPr>
          <w:rFonts w:ascii="Times New Roman" w:eastAsiaTheme="minorEastAsia" w:hAnsi="Times New Roman" w:cs="Times New Roman"/>
          <w:sz w:val="24"/>
          <w:szCs w:val="24"/>
          <w:lang w:val="en-US"/>
        </w:rPr>
        <w:t xml:space="preserve">conditions of </w:t>
      </w:r>
      <w:r w:rsidRPr="007824DF">
        <w:rPr>
          <w:rFonts w:ascii="Times New Roman" w:eastAsiaTheme="minorEastAsia" w:hAnsi="Times New Roman" w:cs="Times New Roman"/>
          <w:sz w:val="24"/>
          <w:szCs w:val="24"/>
          <w:lang w:val="en-US"/>
        </w:rPr>
        <w:t>its realization</w:t>
      </w:r>
      <w:r>
        <w:rPr>
          <w:rFonts w:ascii="Times New Roman" w:eastAsiaTheme="minorEastAsia" w:hAnsi="Times New Roman" w:cs="Times New Roman"/>
          <w:sz w:val="24"/>
          <w:szCs w:val="24"/>
          <w:lang w:val="en-US"/>
        </w:rPr>
        <w:t>.</w:t>
      </w:r>
    </w:p>
    <w:p w:rsidR="00812E0F" w:rsidRPr="007824DF" w:rsidRDefault="00812E0F" w:rsidP="00812E0F">
      <w:pPr>
        <w:spacing w:after="120" w:line="240" w:lineRule="auto"/>
        <w:ind w:firstLine="567"/>
        <w:jc w:val="both"/>
        <w:rPr>
          <w:rFonts w:ascii="Times New Roman" w:eastAsiaTheme="minorEastAsia" w:hAnsi="Times New Roman" w:cs="Times New Roman"/>
          <w:sz w:val="24"/>
          <w:szCs w:val="24"/>
          <w:lang w:val="en-US"/>
        </w:rPr>
      </w:pPr>
      <w:r w:rsidRPr="007824DF">
        <w:rPr>
          <w:rFonts w:ascii="Times New Roman" w:eastAsiaTheme="minorEastAsia" w:hAnsi="Times New Roman" w:cs="Times New Roman"/>
          <w:b/>
          <w:sz w:val="24"/>
          <w:szCs w:val="24"/>
          <w:lang w:val="en-US"/>
        </w:rPr>
        <w:t xml:space="preserve">6. Confirmation that the Quality management system introduced by NCC conforms to the requirements of </w:t>
      </w:r>
      <w:r>
        <w:rPr>
          <w:rFonts w:ascii="Times New Roman" w:eastAsiaTheme="minorEastAsia" w:hAnsi="Times New Roman" w:cs="Times New Roman"/>
          <w:b/>
          <w:sz w:val="24"/>
          <w:szCs w:val="24"/>
          <w:lang w:val="en-US"/>
        </w:rPr>
        <w:t xml:space="preserve">the </w:t>
      </w:r>
      <w:r w:rsidRPr="00CC34FD">
        <w:rPr>
          <w:rFonts w:ascii="Times New Roman" w:hAnsi="Times New Roman" w:cs="Times New Roman"/>
          <w:b/>
          <w:color w:val="000000"/>
          <w:sz w:val="24"/>
          <w:szCs w:val="24"/>
          <w:lang w:val="en-US"/>
        </w:rPr>
        <w:t>International Quality Management System Standard ISO</w:t>
      </w:r>
      <w:r w:rsidRPr="007824DF">
        <w:rPr>
          <w:rFonts w:ascii="Times New Roman" w:eastAsiaTheme="minorEastAsia" w:hAnsi="Times New Roman" w:cs="Times New Roman"/>
          <w:b/>
          <w:sz w:val="24"/>
          <w:szCs w:val="24"/>
          <w:lang w:val="en-US"/>
        </w:rPr>
        <w:t xml:space="preserve"> 9001:2008</w:t>
      </w:r>
      <w:r>
        <w:rPr>
          <w:rFonts w:ascii="Times New Roman" w:eastAsiaTheme="minorEastAsia" w:hAnsi="Times New Roman" w:cs="Times New Roman"/>
          <w:b/>
          <w:sz w:val="24"/>
          <w:szCs w:val="24"/>
          <w:lang w:val="en-US"/>
        </w:rPr>
        <w:t xml:space="preserve">. </w:t>
      </w:r>
      <w:r w:rsidRPr="00CC34FD">
        <w:rPr>
          <w:rFonts w:ascii="Times New Roman" w:eastAsiaTheme="minorEastAsia" w:hAnsi="Times New Roman" w:cs="Times New Roman"/>
          <w:sz w:val="24"/>
          <w:szCs w:val="24"/>
          <w:lang w:val="en-US"/>
        </w:rPr>
        <w:t>The confirmation</w:t>
      </w:r>
      <w:r w:rsidRPr="007824DF">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is </w:t>
      </w:r>
      <w:r w:rsidRPr="007824DF">
        <w:rPr>
          <w:rFonts w:ascii="Times New Roman" w:eastAsiaTheme="minorEastAsia" w:hAnsi="Times New Roman" w:cs="Times New Roman"/>
          <w:sz w:val="24"/>
          <w:szCs w:val="24"/>
          <w:lang w:val="en-US"/>
        </w:rPr>
        <w:t>based on the results of the external audit of this System</w:t>
      </w:r>
      <w:r w:rsidR="00CC34FD">
        <w:rPr>
          <w:rFonts w:ascii="Times New Roman" w:eastAsiaTheme="minorEastAsia" w:hAnsi="Times New Roman" w:cs="Times New Roman"/>
          <w:sz w:val="24"/>
          <w:szCs w:val="24"/>
          <w:lang w:val="en-US"/>
        </w:rPr>
        <w:t>,</w:t>
      </w:r>
      <w:r w:rsidRPr="00953626">
        <w:rPr>
          <w:rFonts w:ascii="Times New Roman" w:eastAsiaTheme="minorEastAsia" w:hAnsi="Times New Roman" w:cs="Times New Roman"/>
          <w:sz w:val="24"/>
          <w:szCs w:val="24"/>
          <w:lang w:val="en-US"/>
        </w:rPr>
        <w:t xml:space="preserve"> </w:t>
      </w:r>
      <w:proofErr w:type="gramStart"/>
      <w:r w:rsidR="009F6A25">
        <w:rPr>
          <w:rFonts w:ascii="Times New Roman" w:eastAsiaTheme="minorEastAsia" w:hAnsi="Times New Roman" w:cs="Times New Roman"/>
          <w:sz w:val="24"/>
          <w:szCs w:val="24"/>
          <w:lang w:val="en-US"/>
        </w:rPr>
        <w:t>a</w:t>
      </w:r>
      <w:r w:rsidRPr="007824DF">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final</w:t>
      </w:r>
      <w:proofErr w:type="gramEnd"/>
      <w:r>
        <w:rPr>
          <w:rFonts w:ascii="Times New Roman" w:eastAsiaTheme="minorEastAsia" w:hAnsi="Times New Roman" w:cs="Times New Roman"/>
          <w:sz w:val="24"/>
          <w:szCs w:val="24"/>
          <w:lang w:val="en-US"/>
        </w:rPr>
        <w:t xml:space="preserve"> report </w:t>
      </w:r>
      <w:r w:rsidRPr="007824DF">
        <w:rPr>
          <w:rFonts w:ascii="Times New Roman" w:eastAsiaTheme="minorEastAsia" w:hAnsi="Times New Roman" w:cs="Times New Roman"/>
          <w:sz w:val="24"/>
          <w:szCs w:val="24"/>
          <w:lang w:val="en-US"/>
        </w:rPr>
        <w:t xml:space="preserve">of which stated the main conclusion for the Bank’s management on “evolutional development of the Quality management system of the Company with </w:t>
      </w:r>
      <w:r>
        <w:rPr>
          <w:rFonts w:ascii="Times New Roman" w:eastAsiaTheme="minorEastAsia" w:hAnsi="Times New Roman" w:cs="Times New Roman"/>
          <w:sz w:val="24"/>
          <w:szCs w:val="24"/>
          <w:lang w:val="en-US"/>
        </w:rPr>
        <w:t xml:space="preserve">consistent </w:t>
      </w:r>
      <w:r w:rsidRPr="007824DF">
        <w:rPr>
          <w:rFonts w:ascii="Times New Roman" w:eastAsiaTheme="minorEastAsia" w:hAnsi="Times New Roman" w:cs="Times New Roman"/>
          <w:sz w:val="24"/>
          <w:szCs w:val="24"/>
          <w:lang w:val="en-US"/>
        </w:rPr>
        <w:t xml:space="preserve"> improvement and adjustment of the management instruments".</w:t>
      </w:r>
    </w:p>
    <w:p w:rsidR="00812E0F" w:rsidRPr="007824DF" w:rsidRDefault="00812E0F" w:rsidP="00812E0F">
      <w:pPr>
        <w:spacing w:after="120" w:line="240" w:lineRule="auto"/>
        <w:ind w:firstLine="567"/>
        <w:jc w:val="both"/>
        <w:rPr>
          <w:rFonts w:ascii="Times New Roman" w:eastAsiaTheme="minorEastAsia" w:hAnsi="Times New Roman" w:cs="Times New Roman"/>
          <w:sz w:val="24"/>
          <w:szCs w:val="24"/>
          <w:lang w:val="en-US"/>
        </w:rPr>
      </w:pPr>
      <w:r w:rsidRPr="007824DF">
        <w:rPr>
          <w:rFonts w:ascii="Times New Roman" w:eastAsiaTheme="minorEastAsia" w:hAnsi="Times New Roman" w:cs="Times New Roman"/>
          <w:b/>
          <w:sz w:val="24"/>
          <w:szCs w:val="24"/>
          <w:lang w:val="en-US"/>
        </w:rPr>
        <w:t>7. Significant increase in NCC capitalization</w:t>
      </w:r>
      <w:r w:rsidRPr="007824DF">
        <w:rPr>
          <w:rFonts w:ascii="Times New Roman" w:eastAsiaTheme="minorEastAsia" w:hAnsi="Times New Roman" w:cs="Times New Roman"/>
          <w:sz w:val="24"/>
          <w:szCs w:val="24"/>
          <w:lang w:val="en-US"/>
        </w:rPr>
        <w:t xml:space="preserve"> which made possible to </w:t>
      </w:r>
      <w:r>
        <w:rPr>
          <w:rFonts w:ascii="Times New Roman" w:eastAsiaTheme="minorEastAsia" w:hAnsi="Times New Roman" w:cs="Times New Roman"/>
          <w:sz w:val="24"/>
          <w:szCs w:val="24"/>
          <w:lang w:val="en-US"/>
        </w:rPr>
        <w:t>rank</w:t>
      </w:r>
      <w:r w:rsidRPr="007824DF">
        <w:rPr>
          <w:rFonts w:ascii="Times New Roman" w:eastAsiaTheme="minorEastAsia" w:hAnsi="Times New Roman" w:cs="Times New Roman"/>
          <w:sz w:val="24"/>
          <w:szCs w:val="24"/>
          <w:lang w:val="en-US"/>
        </w:rPr>
        <w:t xml:space="preserve"> it as the most capitalized central counterparty in the world. NCC’s own</w:t>
      </w:r>
      <w:r>
        <w:rPr>
          <w:rFonts w:ascii="Times New Roman" w:eastAsiaTheme="minorEastAsia" w:hAnsi="Times New Roman" w:cs="Times New Roman"/>
          <w:sz w:val="24"/>
          <w:szCs w:val="24"/>
          <w:lang w:val="en-US"/>
        </w:rPr>
        <w:t>ed capital</w:t>
      </w:r>
      <w:r w:rsidRPr="007824DF">
        <w:rPr>
          <w:rFonts w:ascii="Times New Roman" w:eastAsiaTheme="minorEastAsia" w:hAnsi="Times New Roman" w:cs="Times New Roman"/>
          <w:sz w:val="24"/>
          <w:szCs w:val="24"/>
          <w:lang w:val="en-US"/>
        </w:rPr>
        <w:t xml:space="preserve"> during the reporting period increased from 13 </w:t>
      </w:r>
      <w:proofErr w:type="spellStart"/>
      <w:r w:rsidRPr="007824DF">
        <w:rPr>
          <w:rFonts w:ascii="Times New Roman" w:eastAsiaTheme="minorEastAsia" w:hAnsi="Times New Roman" w:cs="Times New Roman"/>
          <w:sz w:val="24"/>
          <w:szCs w:val="24"/>
          <w:lang w:val="en-US"/>
        </w:rPr>
        <w:t>bn</w:t>
      </w:r>
      <w:proofErr w:type="spellEnd"/>
      <w:r w:rsidRPr="007824DF">
        <w:rPr>
          <w:rFonts w:ascii="Times New Roman" w:eastAsiaTheme="minorEastAsia" w:hAnsi="Times New Roman" w:cs="Times New Roman"/>
          <w:sz w:val="24"/>
          <w:szCs w:val="24"/>
          <w:lang w:val="en-US"/>
        </w:rPr>
        <w:t xml:space="preserve"> 501 </w:t>
      </w:r>
      <w:proofErr w:type="spellStart"/>
      <w:r w:rsidRPr="007824DF">
        <w:rPr>
          <w:rFonts w:ascii="Times New Roman" w:eastAsiaTheme="minorEastAsia" w:hAnsi="Times New Roman" w:cs="Times New Roman"/>
          <w:sz w:val="24"/>
          <w:szCs w:val="24"/>
          <w:lang w:val="en-US"/>
        </w:rPr>
        <w:t>mln</w:t>
      </w:r>
      <w:proofErr w:type="spellEnd"/>
      <w:r w:rsidRPr="007824DF">
        <w:rPr>
          <w:rFonts w:ascii="Times New Roman" w:eastAsiaTheme="minorEastAsia" w:hAnsi="Times New Roman" w:cs="Times New Roman"/>
          <w:sz w:val="24"/>
          <w:szCs w:val="24"/>
          <w:lang w:val="en-US"/>
        </w:rPr>
        <w:t xml:space="preserve"> to 28 </w:t>
      </w:r>
      <w:proofErr w:type="spellStart"/>
      <w:r w:rsidRPr="007824DF">
        <w:rPr>
          <w:rFonts w:ascii="Times New Roman" w:eastAsiaTheme="minorEastAsia" w:hAnsi="Times New Roman" w:cs="Times New Roman"/>
          <w:sz w:val="24"/>
          <w:szCs w:val="24"/>
          <w:lang w:val="en-US"/>
        </w:rPr>
        <w:t>bn</w:t>
      </w:r>
      <w:proofErr w:type="spellEnd"/>
      <w:r w:rsidRPr="007824DF">
        <w:rPr>
          <w:rFonts w:ascii="Times New Roman" w:eastAsiaTheme="minorEastAsia" w:hAnsi="Times New Roman" w:cs="Times New Roman"/>
          <w:sz w:val="24"/>
          <w:szCs w:val="24"/>
          <w:lang w:val="en-US"/>
        </w:rPr>
        <w:t xml:space="preserve"> 839 </w:t>
      </w:r>
      <w:proofErr w:type="spellStart"/>
      <w:r w:rsidRPr="007824DF">
        <w:rPr>
          <w:rFonts w:ascii="Times New Roman" w:eastAsiaTheme="minorEastAsia" w:hAnsi="Times New Roman" w:cs="Times New Roman"/>
          <w:sz w:val="24"/>
          <w:szCs w:val="24"/>
          <w:lang w:val="en-US"/>
        </w:rPr>
        <w:t>mln</w:t>
      </w:r>
      <w:proofErr w:type="spellEnd"/>
      <w:r w:rsidRPr="007824DF">
        <w:rPr>
          <w:rFonts w:ascii="Times New Roman" w:eastAsiaTheme="minorEastAsia" w:hAnsi="Times New Roman" w:cs="Times New Roman"/>
          <w:sz w:val="24"/>
          <w:szCs w:val="24"/>
          <w:lang w:val="en-US"/>
        </w:rPr>
        <w:t xml:space="preserve"> RUB, i.e. by 113.61%. </w:t>
      </w:r>
      <w:r>
        <w:rPr>
          <w:rFonts w:ascii="Times New Roman" w:eastAsiaTheme="minorEastAsia" w:hAnsi="Times New Roman" w:cs="Times New Roman"/>
          <w:sz w:val="24"/>
          <w:szCs w:val="24"/>
          <w:lang w:val="en-US"/>
        </w:rPr>
        <w:t>The increase in c</w:t>
      </w:r>
      <w:r w:rsidRPr="007824DF">
        <w:rPr>
          <w:rFonts w:ascii="Times New Roman" w:eastAsiaTheme="minorEastAsia" w:hAnsi="Times New Roman" w:cs="Times New Roman"/>
          <w:sz w:val="24"/>
          <w:szCs w:val="24"/>
          <w:lang w:val="en-US"/>
        </w:rPr>
        <w:t>apitalization was achieved</w:t>
      </w:r>
      <w:r>
        <w:rPr>
          <w:rFonts w:ascii="Times New Roman" w:eastAsiaTheme="minorEastAsia" w:hAnsi="Times New Roman" w:cs="Times New Roman"/>
          <w:sz w:val="24"/>
          <w:szCs w:val="24"/>
          <w:lang w:val="en-US"/>
        </w:rPr>
        <w:t>, among other sources,</w:t>
      </w:r>
      <w:r w:rsidRPr="007824DF">
        <w:rPr>
          <w:rFonts w:ascii="Times New Roman" w:eastAsiaTheme="minorEastAsia" w:hAnsi="Times New Roman" w:cs="Times New Roman"/>
          <w:sz w:val="24"/>
          <w:szCs w:val="24"/>
          <w:lang w:val="en-US"/>
        </w:rPr>
        <w:t xml:space="preserve"> due to </w:t>
      </w:r>
      <w:r>
        <w:rPr>
          <w:rFonts w:ascii="Times New Roman" w:eastAsiaTheme="minorEastAsia" w:hAnsi="Times New Roman" w:cs="Times New Roman"/>
          <w:sz w:val="24"/>
          <w:szCs w:val="24"/>
          <w:lang w:val="en-US"/>
        </w:rPr>
        <w:t xml:space="preserve">the </w:t>
      </w:r>
      <w:r w:rsidRPr="007824DF">
        <w:rPr>
          <w:rFonts w:ascii="Times New Roman" w:eastAsiaTheme="minorEastAsia" w:hAnsi="Times New Roman" w:cs="Times New Roman"/>
          <w:sz w:val="24"/>
          <w:szCs w:val="24"/>
          <w:lang w:val="en-US"/>
        </w:rPr>
        <w:t xml:space="preserve">significant (by 80.7%) in comparison with 2012 after tax income </w:t>
      </w:r>
      <w:r>
        <w:rPr>
          <w:rFonts w:ascii="Times New Roman" w:eastAsiaTheme="minorEastAsia" w:hAnsi="Times New Roman" w:cs="Times New Roman"/>
          <w:sz w:val="24"/>
          <w:szCs w:val="24"/>
          <w:lang w:val="en-US"/>
        </w:rPr>
        <w:t>growth</w:t>
      </w:r>
      <w:r w:rsidRPr="007824DF">
        <w:rPr>
          <w:rFonts w:ascii="Times New Roman" w:eastAsiaTheme="minorEastAsia" w:hAnsi="Times New Roman" w:cs="Times New Roman"/>
          <w:sz w:val="24"/>
          <w:szCs w:val="24"/>
          <w:lang w:val="en-US"/>
        </w:rPr>
        <w:t xml:space="preserve">. For the reporting period it amounted to 6 </w:t>
      </w:r>
      <w:proofErr w:type="spellStart"/>
      <w:r w:rsidRPr="007824DF">
        <w:rPr>
          <w:rFonts w:ascii="Times New Roman" w:eastAsiaTheme="minorEastAsia" w:hAnsi="Times New Roman" w:cs="Times New Roman"/>
          <w:sz w:val="24"/>
          <w:szCs w:val="24"/>
          <w:lang w:val="en-US"/>
        </w:rPr>
        <w:t>bn</w:t>
      </w:r>
      <w:proofErr w:type="spellEnd"/>
      <w:r w:rsidRPr="007824DF">
        <w:rPr>
          <w:rFonts w:ascii="Times New Roman" w:eastAsiaTheme="minorEastAsia" w:hAnsi="Times New Roman" w:cs="Times New Roman"/>
          <w:sz w:val="24"/>
          <w:szCs w:val="24"/>
          <w:lang w:val="en-US"/>
        </w:rPr>
        <w:t xml:space="preserve"> 357 </w:t>
      </w:r>
      <w:proofErr w:type="spellStart"/>
      <w:r w:rsidRPr="007824DF">
        <w:rPr>
          <w:rFonts w:ascii="Times New Roman" w:eastAsiaTheme="minorEastAsia" w:hAnsi="Times New Roman" w:cs="Times New Roman"/>
          <w:sz w:val="24"/>
          <w:szCs w:val="24"/>
          <w:lang w:val="en-US"/>
        </w:rPr>
        <w:t>mln</w:t>
      </w:r>
      <w:proofErr w:type="spellEnd"/>
      <w:r w:rsidRPr="007824DF">
        <w:rPr>
          <w:rFonts w:ascii="Times New Roman" w:eastAsiaTheme="minorEastAsia" w:hAnsi="Times New Roman" w:cs="Times New Roman"/>
          <w:sz w:val="24"/>
          <w:szCs w:val="24"/>
          <w:lang w:val="en-US"/>
        </w:rPr>
        <w:t xml:space="preserve"> RUB. As a result </w:t>
      </w:r>
      <w:r w:rsidRPr="00D55472">
        <w:rPr>
          <w:rFonts w:ascii="Times New Roman" w:hAnsi="Times New Roman"/>
          <w:sz w:val="24"/>
          <w:lang w:val="en-US"/>
        </w:rPr>
        <w:t xml:space="preserve">the rate of return on </w:t>
      </w:r>
      <w:proofErr w:type="gramStart"/>
      <w:r w:rsidRPr="00D55472">
        <w:rPr>
          <w:rFonts w:ascii="Times New Roman" w:hAnsi="Times New Roman"/>
          <w:sz w:val="24"/>
          <w:lang w:val="en-US"/>
        </w:rPr>
        <w:t>capital</w:t>
      </w:r>
      <w:r w:rsidRPr="00D55472">
        <w:rPr>
          <w:rFonts w:ascii="Times New Roman" w:eastAsiaTheme="minorEastAsia" w:hAnsi="Times New Roman" w:cs="Times New Roman"/>
          <w:sz w:val="24"/>
          <w:szCs w:val="24"/>
          <w:lang w:val="en-US"/>
        </w:rPr>
        <w:t xml:space="preserve"> </w:t>
      </w:r>
      <w:r w:rsidRPr="00D55472">
        <w:rPr>
          <w:rFonts w:ascii="Times New Roman" w:hAnsi="Times New Roman"/>
          <w:sz w:val="24"/>
          <w:lang w:val="en-US"/>
        </w:rPr>
        <w:t xml:space="preserve"> as</w:t>
      </w:r>
      <w:proofErr w:type="gramEnd"/>
      <w:r w:rsidRPr="00D55472">
        <w:rPr>
          <w:rFonts w:ascii="Times New Roman" w:hAnsi="Times New Roman"/>
          <w:sz w:val="24"/>
          <w:lang w:val="en-US"/>
        </w:rPr>
        <w:t xml:space="preserve"> of year-end 2013 reached</w:t>
      </w:r>
      <w:r w:rsidRPr="007824DF">
        <w:rPr>
          <w:rFonts w:ascii="Times New Roman" w:eastAsiaTheme="minorEastAsia" w:hAnsi="Times New Roman" w:cs="Times New Roman"/>
          <w:sz w:val="24"/>
          <w:szCs w:val="24"/>
          <w:lang w:val="en-US"/>
        </w:rPr>
        <w:t xml:space="preserve">  22.04% - </w:t>
      </w:r>
      <w:r>
        <w:rPr>
          <w:rFonts w:ascii="Times New Roman" w:eastAsiaTheme="minorEastAsia" w:hAnsi="Times New Roman" w:cs="Times New Roman"/>
          <w:sz w:val="24"/>
          <w:szCs w:val="24"/>
          <w:lang w:val="en-US"/>
        </w:rPr>
        <w:t>one</w:t>
      </w:r>
      <w:r w:rsidRPr="007824DF">
        <w:rPr>
          <w:rFonts w:ascii="Times New Roman" w:eastAsiaTheme="minorEastAsia" w:hAnsi="Times New Roman" w:cs="Times New Roman"/>
          <w:sz w:val="24"/>
          <w:szCs w:val="24"/>
          <w:lang w:val="en-US"/>
        </w:rPr>
        <w:t xml:space="preserve"> of the highest indicators in Russian banking sphere.</w:t>
      </w:r>
    </w:p>
    <w:p w:rsidR="00812E0F" w:rsidRPr="007824DF" w:rsidRDefault="00812E0F" w:rsidP="00812E0F">
      <w:pPr>
        <w:tabs>
          <w:tab w:val="left" w:pos="7076"/>
        </w:tabs>
        <w:spacing w:after="120" w:line="240" w:lineRule="auto"/>
        <w:ind w:firstLine="567"/>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p>
    <w:p w:rsidR="00812E0F" w:rsidRPr="007824DF" w:rsidRDefault="00812E0F" w:rsidP="00812E0F">
      <w:pPr>
        <w:spacing w:after="120" w:line="240" w:lineRule="auto"/>
        <w:ind w:firstLine="567"/>
        <w:jc w:val="both"/>
        <w:rPr>
          <w:rFonts w:ascii="Times New Roman" w:eastAsiaTheme="minorEastAsia" w:hAnsi="Times New Roman" w:cs="Times New Roman"/>
          <w:sz w:val="24"/>
          <w:szCs w:val="24"/>
          <w:lang w:val="en-US"/>
        </w:rPr>
      </w:pPr>
      <w:r w:rsidRPr="007824DF">
        <w:rPr>
          <w:rFonts w:ascii="Times New Roman" w:eastAsiaTheme="minorEastAsia" w:hAnsi="Times New Roman" w:cs="Times New Roman"/>
          <w:b/>
          <w:sz w:val="24"/>
          <w:szCs w:val="24"/>
          <w:lang w:val="en-US"/>
        </w:rPr>
        <w:t xml:space="preserve">8. </w:t>
      </w:r>
      <w:r w:rsidR="00876F57">
        <w:rPr>
          <w:rFonts w:ascii="Times New Roman" w:eastAsiaTheme="minorEastAsia" w:hAnsi="Times New Roman" w:cs="Times New Roman"/>
          <w:b/>
          <w:sz w:val="24"/>
          <w:szCs w:val="24"/>
          <w:lang w:val="en-US"/>
        </w:rPr>
        <w:t>Introduction</w:t>
      </w:r>
      <w:r w:rsidRPr="007824DF">
        <w:rPr>
          <w:rFonts w:ascii="Times New Roman" w:eastAsiaTheme="minorEastAsia" w:hAnsi="Times New Roman" w:cs="Times New Roman"/>
          <w:b/>
          <w:sz w:val="24"/>
          <w:szCs w:val="24"/>
          <w:lang w:val="en-US"/>
        </w:rPr>
        <w:t xml:space="preserve"> of centralized clearing in the market of precious metals.</w:t>
      </w:r>
      <w:r w:rsidRPr="007824DF">
        <w:rPr>
          <w:rFonts w:ascii="Times New Roman" w:eastAsiaTheme="minorEastAsia" w:hAnsi="Times New Roman" w:cs="Times New Roman"/>
          <w:sz w:val="24"/>
          <w:szCs w:val="24"/>
          <w:lang w:val="en-US"/>
        </w:rPr>
        <w:t xml:space="preserve"> At the first stage clearing was performed on trades with gold and silver </w:t>
      </w:r>
      <w:r>
        <w:rPr>
          <w:rFonts w:ascii="Times New Roman" w:eastAsiaTheme="minorEastAsia" w:hAnsi="Times New Roman" w:cs="Times New Roman"/>
          <w:sz w:val="24"/>
          <w:szCs w:val="24"/>
          <w:lang w:val="en-US"/>
        </w:rPr>
        <w:t>in</w:t>
      </w:r>
      <w:r w:rsidRPr="007824DF">
        <w:rPr>
          <w:rFonts w:ascii="Times New Roman" w:eastAsiaTheme="minorEastAsia" w:hAnsi="Times New Roman" w:cs="Times New Roman"/>
          <w:sz w:val="24"/>
          <w:szCs w:val="24"/>
          <w:lang w:val="en-US"/>
        </w:rPr>
        <w:t xml:space="preserve"> RUB. Th</w:t>
      </w:r>
      <w:r>
        <w:rPr>
          <w:rFonts w:ascii="Times New Roman" w:eastAsiaTheme="minorEastAsia" w:hAnsi="Times New Roman" w:cs="Times New Roman"/>
          <w:sz w:val="24"/>
          <w:szCs w:val="24"/>
          <w:lang w:val="en-US"/>
        </w:rPr>
        <w:t>us,</w:t>
      </w:r>
      <w:r w:rsidRPr="007824DF">
        <w:rPr>
          <w:rFonts w:ascii="Times New Roman" w:eastAsiaTheme="minorEastAsia" w:hAnsi="Times New Roman" w:cs="Times New Roman"/>
          <w:sz w:val="24"/>
          <w:szCs w:val="24"/>
          <w:lang w:val="en-US"/>
        </w:rPr>
        <w:t xml:space="preserve"> an efficient risk management system which guarantees fulfillment of obligation</w:t>
      </w:r>
      <w:r>
        <w:rPr>
          <w:rFonts w:ascii="Times New Roman" w:eastAsiaTheme="minorEastAsia" w:hAnsi="Times New Roman" w:cs="Times New Roman"/>
          <w:sz w:val="24"/>
          <w:szCs w:val="24"/>
          <w:lang w:val="en-US"/>
        </w:rPr>
        <w:t>s assumed</w:t>
      </w:r>
      <w:r w:rsidRPr="007824DF">
        <w:rPr>
          <w:rFonts w:ascii="Times New Roman" w:eastAsiaTheme="minorEastAsia" w:hAnsi="Times New Roman" w:cs="Times New Roman"/>
          <w:sz w:val="24"/>
          <w:szCs w:val="24"/>
          <w:lang w:val="en-US"/>
        </w:rPr>
        <w:t xml:space="preserve"> by </w:t>
      </w:r>
      <w:r w:rsidR="00876F57">
        <w:rPr>
          <w:rFonts w:ascii="Times New Roman" w:eastAsiaTheme="minorEastAsia" w:hAnsi="Times New Roman" w:cs="Times New Roman"/>
          <w:sz w:val="24"/>
          <w:szCs w:val="24"/>
          <w:lang w:val="en-US"/>
        </w:rPr>
        <w:t>members working through the CCP</w:t>
      </w:r>
      <w:r w:rsidRPr="007824DF">
        <w:rPr>
          <w:rFonts w:ascii="Times New Roman" w:eastAsiaTheme="minorEastAsia" w:hAnsi="Times New Roman" w:cs="Times New Roman"/>
          <w:sz w:val="24"/>
          <w:szCs w:val="24"/>
          <w:lang w:val="en-US"/>
        </w:rPr>
        <w:t xml:space="preserve"> was extended to one more segment of the financial market attractive to investors.</w:t>
      </w:r>
    </w:p>
    <w:p w:rsidR="00812E0F" w:rsidRPr="007824DF" w:rsidRDefault="00812E0F" w:rsidP="00812E0F">
      <w:pPr>
        <w:spacing w:after="120" w:line="240" w:lineRule="auto"/>
        <w:ind w:firstLine="567"/>
        <w:jc w:val="both"/>
        <w:rPr>
          <w:rFonts w:ascii="Times New Roman" w:eastAsiaTheme="minorEastAsia" w:hAnsi="Times New Roman" w:cs="Times New Roman"/>
          <w:sz w:val="24"/>
          <w:szCs w:val="24"/>
          <w:lang w:val="en-US"/>
        </w:rPr>
      </w:pPr>
      <w:r w:rsidRPr="007824DF">
        <w:rPr>
          <w:rFonts w:ascii="Times New Roman" w:eastAsiaTheme="minorEastAsia" w:hAnsi="Times New Roman" w:cs="Times New Roman"/>
          <w:b/>
          <w:sz w:val="24"/>
          <w:szCs w:val="24"/>
          <w:lang w:val="en-US"/>
        </w:rPr>
        <w:t>9. Launch of clearing with the central counterparty on the segment of an organized market of standardized</w:t>
      </w:r>
      <w:r w:rsidR="00151445" w:rsidRPr="00151445">
        <w:rPr>
          <w:rFonts w:ascii="Times New Roman" w:eastAsiaTheme="minorEastAsia" w:hAnsi="Times New Roman" w:cs="Times New Roman"/>
          <w:b/>
          <w:sz w:val="24"/>
          <w:szCs w:val="24"/>
          <w:lang w:val="en-US"/>
        </w:rPr>
        <w:t xml:space="preserve"> </w:t>
      </w:r>
      <w:r w:rsidR="00151445" w:rsidRPr="007824DF">
        <w:rPr>
          <w:rFonts w:ascii="Times New Roman" w:eastAsiaTheme="minorEastAsia" w:hAnsi="Times New Roman" w:cs="Times New Roman"/>
          <w:b/>
          <w:sz w:val="24"/>
          <w:szCs w:val="24"/>
          <w:lang w:val="en-US"/>
        </w:rPr>
        <w:t>financial</w:t>
      </w:r>
      <w:r w:rsidRPr="007824DF">
        <w:rPr>
          <w:rFonts w:ascii="Times New Roman" w:eastAsiaTheme="minorEastAsia" w:hAnsi="Times New Roman" w:cs="Times New Roman"/>
          <w:b/>
          <w:sz w:val="24"/>
          <w:szCs w:val="24"/>
          <w:lang w:val="en-US"/>
        </w:rPr>
        <w:t xml:space="preserve"> derivative instrume</w:t>
      </w:r>
      <w:r w:rsidR="00DA0D0B">
        <w:rPr>
          <w:rFonts w:ascii="Times New Roman" w:eastAsiaTheme="minorEastAsia" w:hAnsi="Times New Roman" w:cs="Times New Roman"/>
          <w:b/>
          <w:sz w:val="24"/>
          <w:szCs w:val="24"/>
          <w:lang w:val="en-US"/>
        </w:rPr>
        <w:t>nts (</w:t>
      </w:r>
      <w:r w:rsidR="00151445">
        <w:rPr>
          <w:rFonts w:ascii="Times New Roman" w:eastAsiaTheme="minorEastAsia" w:hAnsi="Times New Roman" w:cs="Times New Roman"/>
          <w:b/>
          <w:sz w:val="24"/>
          <w:szCs w:val="24"/>
          <w:lang w:val="en-US"/>
        </w:rPr>
        <w:t>D</w:t>
      </w:r>
      <w:r w:rsidRPr="007824DF">
        <w:rPr>
          <w:rFonts w:ascii="Times New Roman" w:eastAsiaTheme="minorEastAsia" w:hAnsi="Times New Roman" w:cs="Times New Roman"/>
          <w:b/>
          <w:sz w:val="24"/>
          <w:szCs w:val="24"/>
          <w:lang w:val="en-US"/>
        </w:rPr>
        <w:t>I).</w:t>
      </w:r>
      <w:r w:rsidRPr="007824DF">
        <w:rPr>
          <w:rFonts w:ascii="Times New Roman" w:eastAsiaTheme="minorEastAsia" w:hAnsi="Times New Roman" w:cs="Times New Roman"/>
          <w:sz w:val="24"/>
          <w:szCs w:val="24"/>
          <w:lang w:val="en-US"/>
        </w:rPr>
        <w:t xml:space="preserve"> It became a specific step towards realization of the decision</w:t>
      </w:r>
      <w:r>
        <w:rPr>
          <w:rFonts w:ascii="Times New Roman" w:eastAsiaTheme="minorEastAsia" w:hAnsi="Times New Roman" w:cs="Times New Roman"/>
          <w:sz w:val="24"/>
          <w:szCs w:val="24"/>
          <w:lang w:val="en-US"/>
        </w:rPr>
        <w:t xml:space="preserve"> made</w:t>
      </w:r>
      <w:r w:rsidRPr="007824DF">
        <w:rPr>
          <w:rFonts w:ascii="Times New Roman" w:eastAsiaTheme="minorEastAsia" w:hAnsi="Times New Roman" w:cs="Times New Roman"/>
          <w:sz w:val="24"/>
          <w:szCs w:val="24"/>
          <w:lang w:val="en-US"/>
        </w:rPr>
        <w:t xml:space="preserve"> </w:t>
      </w:r>
      <w:proofErr w:type="gramStart"/>
      <w:r>
        <w:rPr>
          <w:rFonts w:ascii="Times New Roman" w:eastAsiaTheme="minorEastAsia" w:hAnsi="Times New Roman" w:cs="Times New Roman"/>
          <w:sz w:val="24"/>
          <w:szCs w:val="24"/>
          <w:lang w:val="en-US"/>
        </w:rPr>
        <w:t>at</w:t>
      </w:r>
      <w:r w:rsidRPr="007824DF">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 G</w:t>
      </w:r>
      <w:r w:rsidRPr="007824DF">
        <w:rPr>
          <w:rFonts w:ascii="Times New Roman" w:eastAsiaTheme="minorEastAsia" w:hAnsi="Times New Roman" w:cs="Times New Roman"/>
          <w:sz w:val="24"/>
          <w:szCs w:val="24"/>
          <w:lang w:val="en-US"/>
        </w:rPr>
        <w:t>20</w:t>
      </w:r>
      <w:proofErr w:type="gramEnd"/>
      <w:r w:rsidRPr="007824DF">
        <w:rPr>
          <w:rFonts w:ascii="Times New Roman" w:eastAsiaTheme="minorEastAsia" w:hAnsi="Times New Roman" w:cs="Times New Roman"/>
          <w:sz w:val="24"/>
          <w:szCs w:val="24"/>
          <w:lang w:val="en-US"/>
        </w:rPr>
        <w:t xml:space="preserve">  Pittsburg summit in 2009. According to it all the standardized over the counter derivatives shall be transferred to organized exchange platforms with the central counterparty </w:t>
      </w:r>
      <w:r>
        <w:rPr>
          <w:rFonts w:ascii="Times New Roman" w:eastAsiaTheme="minorEastAsia" w:hAnsi="Times New Roman" w:cs="Times New Roman"/>
          <w:sz w:val="24"/>
          <w:szCs w:val="24"/>
          <w:lang w:val="en-US"/>
        </w:rPr>
        <w:t xml:space="preserve">taking part in </w:t>
      </w:r>
      <w:r w:rsidRPr="007824DF">
        <w:rPr>
          <w:rFonts w:ascii="Times New Roman" w:eastAsiaTheme="minorEastAsia" w:hAnsi="Times New Roman" w:cs="Times New Roman"/>
          <w:sz w:val="24"/>
          <w:szCs w:val="24"/>
          <w:lang w:val="en-US"/>
        </w:rPr>
        <w:t>clearing</w:t>
      </w:r>
      <w:r>
        <w:rPr>
          <w:rFonts w:ascii="Times New Roman" w:eastAsiaTheme="minorEastAsia" w:hAnsi="Times New Roman" w:cs="Times New Roman"/>
          <w:sz w:val="24"/>
          <w:szCs w:val="24"/>
          <w:lang w:val="en-US"/>
        </w:rPr>
        <w:t>.</w:t>
      </w:r>
      <w:r w:rsidRPr="007824DF">
        <w:rPr>
          <w:rFonts w:ascii="Times New Roman" w:eastAsiaTheme="minorEastAsia" w:hAnsi="Times New Roman" w:cs="Times New Roman"/>
          <w:sz w:val="24"/>
          <w:szCs w:val="24"/>
          <w:lang w:val="en-US"/>
        </w:rPr>
        <w:t xml:space="preserve"> The main advantage this market segment of the Group offers the members is an opportunity to shift risks to the central counterparty – NCC. </w:t>
      </w:r>
      <w:r>
        <w:rPr>
          <w:rFonts w:ascii="Times New Roman" w:eastAsiaTheme="minorEastAsia" w:hAnsi="Times New Roman" w:cs="Times New Roman"/>
          <w:sz w:val="24"/>
          <w:szCs w:val="24"/>
          <w:lang w:val="en-US"/>
        </w:rPr>
        <w:t>With</w:t>
      </w:r>
      <w:r w:rsidRPr="009E4CAE">
        <w:rPr>
          <w:rFonts w:ascii="Times New Roman" w:eastAsiaTheme="minorEastAsia" w:hAnsi="Times New Roman" w:cs="Times New Roman"/>
          <w:sz w:val="24"/>
          <w:szCs w:val="24"/>
          <w:lang w:val="en-US"/>
        </w:rPr>
        <w:t xml:space="preserve"> </w:t>
      </w:r>
      <w:r w:rsidRPr="007824DF">
        <w:rPr>
          <w:rFonts w:ascii="Times New Roman" w:eastAsiaTheme="minorEastAsia" w:hAnsi="Times New Roman" w:cs="Times New Roman"/>
          <w:sz w:val="24"/>
          <w:szCs w:val="24"/>
          <w:lang w:val="en-US"/>
        </w:rPr>
        <w:t>the Central Bank strengthening the requirements to banks, their mutual requirements increase</w:t>
      </w:r>
      <w:r>
        <w:rPr>
          <w:rFonts w:ascii="Times New Roman" w:eastAsiaTheme="minorEastAsia" w:hAnsi="Times New Roman" w:cs="Times New Roman"/>
          <w:sz w:val="24"/>
          <w:szCs w:val="24"/>
          <w:lang w:val="en-US"/>
        </w:rPr>
        <w:t>.</w:t>
      </w:r>
      <w:r w:rsidRPr="007824DF">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T</w:t>
      </w:r>
      <w:r w:rsidRPr="007824DF">
        <w:rPr>
          <w:rFonts w:ascii="Times New Roman" w:eastAsiaTheme="minorEastAsia" w:hAnsi="Times New Roman" w:cs="Times New Roman"/>
          <w:sz w:val="24"/>
          <w:szCs w:val="24"/>
          <w:lang w:val="en-US"/>
        </w:rPr>
        <w:t xml:space="preserve">hus </w:t>
      </w:r>
      <w:r>
        <w:rPr>
          <w:rFonts w:ascii="Times New Roman" w:eastAsiaTheme="minorEastAsia" w:hAnsi="Times New Roman" w:cs="Times New Roman"/>
          <w:sz w:val="24"/>
          <w:szCs w:val="24"/>
          <w:lang w:val="en-US"/>
        </w:rPr>
        <w:t xml:space="preserve">the </w:t>
      </w:r>
      <w:r w:rsidRPr="007824DF">
        <w:rPr>
          <w:rFonts w:ascii="Times New Roman" w:eastAsiaTheme="minorEastAsia" w:hAnsi="Times New Roman" w:cs="Times New Roman"/>
          <w:sz w:val="24"/>
          <w:szCs w:val="24"/>
          <w:lang w:val="en-US"/>
        </w:rPr>
        <w:t xml:space="preserve">creation of an organized market segment of </w:t>
      </w:r>
      <w:proofErr w:type="gramStart"/>
      <w:r w:rsidRPr="007824DF">
        <w:rPr>
          <w:rFonts w:ascii="Times New Roman" w:eastAsiaTheme="minorEastAsia" w:hAnsi="Times New Roman" w:cs="Times New Roman"/>
          <w:sz w:val="24"/>
          <w:szCs w:val="24"/>
          <w:lang w:val="en-US"/>
        </w:rPr>
        <w:t xml:space="preserve">DI  </w:t>
      </w:r>
      <w:r>
        <w:rPr>
          <w:rFonts w:ascii="Times New Roman" w:eastAsiaTheme="minorEastAsia" w:hAnsi="Times New Roman" w:cs="Times New Roman"/>
          <w:sz w:val="24"/>
          <w:szCs w:val="24"/>
          <w:lang w:val="en-US"/>
        </w:rPr>
        <w:t>on</w:t>
      </w:r>
      <w:proofErr w:type="gramEnd"/>
      <w:r>
        <w:rPr>
          <w:rFonts w:ascii="Times New Roman" w:eastAsiaTheme="minorEastAsia" w:hAnsi="Times New Roman" w:cs="Times New Roman"/>
          <w:sz w:val="24"/>
          <w:szCs w:val="24"/>
          <w:lang w:val="en-US"/>
        </w:rPr>
        <w:t xml:space="preserve"> </w:t>
      </w:r>
      <w:r w:rsidRPr="007824DF">
        <w:rPr>
          <w:rFonts w:ascii="Times New Roman" w:eastAsiaTheme="minorEastAsia" w:hAnsi="Times New Roman" w:cs="Times New Roman"/>
          <w:sz w:val="24"/>
          <w:szCs w:val="24"/>
          <w:lang w:val="en-US"/>
        </w:rPr>
        <w:t xml:space="preserve">the </w:t>
      </w:r>
      <w:r>
        <w:rPr>
          <w:rFonts w:ascii="Times New Roman" w:eastAsiaTheme="minorEastAsia" w:hAnsi="Times New Roman" w:cs="Times New Roman"/>
          <w:sz w:val="24"/>
          <w:szCs w:val="24"/>
          <w:lang w:val="en-US"/>
        </w:rPr>
        <w:t xml:space="preserve">stock </w:t>
      </w:r>
      <w:r w:rsidRPr="007824DF">
        <w:rPr>
          <w:rFonts w:ascii="Times New Roman" w:eastAsiaTheme="minorEastAsia" w:hAnsi="Times New Roman" w:cs="Times New Roman"/>
          <w:sz w:val="24"/>
          <w:szCs w:val="24"/>
          <w:lang w:val="en-US"/>
        </w:rPr>
        <w:t xml:space="preserve">exchange is an important step to increase mutual trust between banks. Besides, </w:t>
      </w:r>
      <w:r>
        <w:rPr>
          <w:rFonts w:ascii="Times New Roman" w:eastAsiaTheme="minorEastAsia" w:hAnsi="Times New Roman" w:cs="Times New Roman"/>
          <w:sz w:val="24"/>
          <w:szCs w:val="24"/>
          <w:lang w:val="en-US"/>
        </w:rPr>
        <w:t xml:space="preserve">the </w:t>
      </w:r>
      <w:r w:rsidRPr="007824DF">
        <w:rPr>
          <w:rFonts w:ascii="Times New Roman" w:eastAsiaTheme="minorEastAsia" w:hAnsi="Times New Roman" w:cs="Times New Roman"/>
          <w:sz w:val="24"/>
          <w:szCs w:val="24"/>
          <w:lang w:val="en-US"/>
        </w:rPr>
        <w:t xml:space="preserve">creation of </w:t>
      </w:r>
      <w:r w:rsidR="00DA0D0B">
        <w:rPr>
          <w:rFonts w:ascii="Times New Roman" w:eastAsiaTheme="minorEastAsia" w:hAnsi="Times New Roman" w:cs="Times New Roman"/>
          <w:sz w:val="24"/>
          <w:szCs w:val="24"/>
          <w:lang w:val="en-US"/>
        </w:rPr>
        <w:t xml:space="preserve">an organized market segment of </w:t>
      </w:r>
      <w:r w:rsidR="00151445">
        <w:rPr>
          <w:rFonts w:ascii="Times New Roman" w:eastAsiaTheme="minorEastAsia" w:hAnsi="Times New Roman" w:cs="Times New Roman"/>
          <w:sz w:val="24"/>
          <w:szCs w:val="24"/>
          <w:lang w:val="en-US"/>
        </w:rPr>
        <w:t>D</w:t>
      </w:r>
      <w:r w:rsidRPr="007824DF">
        <w:rPr>
          <w:rFonts w:ascii="Times New Roman" w:eastAsiaTheme="minorEastAsia" w:hAnsi="Times New Roman" w:cs="Times New Roman"/>
          <w:sz w:val="24"/>
          <w:szCs w:val="24"/>
          <w:lang w:val="en-US"/>
        </w:rPr>
        <w:t xml:space="preserve">I made it available for medium and small banks as there appeared an opportunity to work with each other through the CCP setting the limits not to each other, but to NCC, </w:t>
      </w:r>
      <w:r>
        <w:rPr>
          <w:rFonts w:ascii="Times New Roman" w:eastAsiaTheme="minorEastAsia" w:hAnsi="Times New Roman" w:cs="Times New Roman"/>
          <w:sz w:val="24"/>
          <w:szCs w:val="24"/>
          <w:lang w:val="en-US"/>
        </w:rPr>
        <w:t xml:space="preserve">and therefore </w:t>
      </w:r>
      <w:r w:rsidRPr="007824DF">
        <w:rPr>
          <w:rFonts w:ascii="Times New Roman" w:eastAsiaTheme="minorEastAsia" w:hAnsi="Times New Roman" w:cs="Times New Roman"/>
          <w:sz w:val="24"/>
          <w:szCs w:val="24"/>
          <w:lang w:val="en-US"/>
        </w:rPr>
        <w:t>widening the members’ list of these trades.</w:t>
      </w:r>
    </w:p>
    <w:p w:rsidR="00812E0F" w:rsidRPr="007824DF" w:rsidRDefault="00812E0F" w:rsidP="00812E0F">
      <w:pPr>
        <w:spacing w:after="120" w:line="240" w:lineRule="auto"/>
        <w:ind w:firstLine="567"/>
        <w:jc w:val="both"/>
        <w:rPr>
          <w:rFonts w:ascii="Times New Roman" w:eastAsiaTheme="minorEastAsia" w:hAnsi="Times New Roman" w:cs="Times New Roman"/>
          <w:sz w:val="24"/>
          <w:szCs w:val="24"/>
          <w:lang w:val="en-US"/>
        </w:rPr>
      </w:pPr>
      <w:r w:rsidRPr="007824DF">
        <w:rPr>
          <w:rFonts w:ascii="Times New Roman" w:eastAsiaTheme="minorEastAsia" w:hAnsi="Times New Roman" w:cs="Times New Roman"/>
          <w:sz w:val="24"/>
          <w:szCs w:val="24"/>
          <w:lang w:val="en-US"/>
        </w:rPr>
        <w:t>The business projects realized in 2013 became for NCC evident proof of organizational, legal, technological readiness to perform full functionality of the central counterparty allocating all types of financial risks as well as proof of maturity and reliability of th</w:t>
      </w:r>
      <w:r w:rsidR="00151445">
        <w:rPr>
          <w:rFonts w:ascii="Times New Roman" w:eastAsiaTheme="minorEastAsia" w:hAnsi="Times New Roman" w:cs="Times New Roman"/>
          <w:sz w:val="24"/>
          <w:szCs w:val="24"/>
          <w:lang w:val="en-US"/>
        </w:rPr>
        <w:t>e</w:t>
      </w:r>
      <w:r w:rsidRPr="007824DF">
        <w:rPr>
          <w:rFonts w:ascii="Times New Roman" w:eastAsiaTheme="minorEastAsia" w:hAnsi="Times New Roman" w:cs="Times New Roman"/>
          <w:sz w:val="24"/>
          <w:szCs w:val="24"/>
          <w:lang w:val="en-US"/>
        </w:rPr>
        <w:t xml:space="preserve"> risk management system of </w:t>
      </w:r>
      <w:r w:rsidR="00151445">
        <w:rPr>
          <w:rFonts w:ascii="Times New Roman" w:eastAsiaTheme="minorEastAsia" w:hAnsi="Times New Roman" w:cs="Times New Roman"/>
          <w:sz w:val="24"/>
          <w:szCs w:val="24"/>
          <w:lang w:val="en-US"/>
        </w:rPr>
        <w:t>CCP</w:t>
      </w:r>
      <w:r w:rsidRPr="007824DF">
        <w:rPr>
          <w:rFonts w:ascii="Times New Roman" w:eastAsiaTheme="minorEastAsia" w:hAnsi="Times New Roman" w:cs="Times New Roman"/>
          <w:sz w:val="24"/>
          <w:szCs w:val="24"/>
          <w:lang w:val="en-US"/>
        </w:rPr>
        <w:t xml:space="preserve">. Realization of the business projects </w:t>
      </w:r>
      <w:r>
        <w:rPr>
          <w:rFonts w:ascii="Times New Roman" w:eastAsiaTheme="minorEastAsia" w:hAnsi="Times New Roman" w:cs="Times New Roman"/>
          <w:sz w:val="24"/>
          <w:szCs w:val="24"/>
          <w:lang w:val="en-US"/>
        </w:rPr>
        <w:t xml:space="preserve">also </w:t>
      </w:r>
      <w:r w:rsidRPr="007824DF">
        <w:rPr>
          <w:rFonts w:ascii="Times New Roman" w:eastAsiaTheme="minorEastAsia" w:hAnsi="Times New Roman" w:cs="Times New Roman"/>
          <w:sz w:val="24"/>
          <w:szCs w:val="24"/>
          <w:lang w:val="en-US"/>
        </w:rPr>
        <w:t xml:space="preserve">allowed not only </w:t>
      </w:r>
      <w:r>
        <w:rPr>
          <w:rFonts w:ascii="Times New Roman" w:eastAsiaTheme="minorEastAsia" w:hAnsi="Times New Roman" w:cs="Times New Roman"/>
          <w:sz w:val="24"/>
          <w:szCs w:val="24"/>
          <w:lang w:val="en-US"/>
        </w:rPr>
        <w:t xml:space="preserve">to </w:t>
      </w:r>
      <w:r w:rsidRPr="007824DF">
        <w:rPr>
          <w:rFonts w:ascii="Times New Roman" w:eastAsiaTheme="minorEastAsia" w:hAnsi="Times New Roman" w:cs="Times New Roman"/>
          <w:sz w:val="24"/>
          <w:szCs w:val="24"/>
          <w:lang w:val="en-US"/>
        </w:rPr>
        <w:t>increas</w:t>
      </w:r>
      <w:r>
        <w:rPr>
          <w:rFonts w:ascii="Times New Roman" w:eastAsiaTheme="minorEastAsia" w:hAnsi="Times New Roman" w:cs="Times New Roman"/>
          <w:sz w:val="24"/>
          <w:szCs w:val="24"/>
          <w:lang w:val="en-US"/>
        </w:rPr>
        <w:t>e</w:t>
      </w:r>
      <w:r w:rsidRPr="007824DF">
        <w:rPr>
          <w:rFonts w:ascii="Times New Roman" w:eastAsiaTheme="minorEastAsia" w:hAnsi="Times New Roman" w:cs="Times New Roman"/>
          <w:sz w:val="24"/>
          <w:szCs w:val="24"/>
          <w:lang w:val="en-US"/>
        </w:rPr>
        <w:t xml:space="preserve"> the clients’ base</w:t>
      </w:r>
      <w:proofErr w:type="gramStart"/>
      <w:r w:rsidRPr="007824DF">
        <w:rPr>
          <w:rFonts w:ascii="Times New Roman" w:eastAsiaTheme="minorEastAsia" w:hAnsi="Times New Roman" w:cs="Times New Roman"/>
          <w:sz w:val="24"/>
          <w:szCs w:val="24"/>
          <w:lang w:val="en-US"/>
        </w:rPr>
        <w:t xml:space="preserve">, </w:t>
      </w:r>
      <w:r w:rsidR="00151445">
        <w:rPr>
          <w:rFonts w:ascii="Times New Roman" w:eastAsiaTheme="minorEastAsia" w:hAnsi="Times New Roman" w:cs="Times New Roman"/>
          <w:sz w:val="24"/>
          <w:szCs w:val="24"/>
          <w:lang w:val="en-US"/>
        </w:rPr>
        <w:t xml:space="preserve"> </w:t>
      </w:r>
      <w:r w:rsidRPr="007824DF">
        <w:rPr>
          <w:rFonts w:ascii="Times New Roman" w:eastAsiaTheme="minorEastAsia" w:hAnsi="Times New Roman" w:cs="Times New Roman"/>
          <w:sz w:val="24"/>
          <w:szCs w:val="24"/>
          <w:lang w:val="en-US"/>
        </w:rPr>
        <w:t>but</w:t>
      </w:r>
      <w:proofErr w:type="gramEnd"/>
      <w:r w:rsidRPr="007824DF">
        <w:rPr>
          <w:rFonts w:ascii="Times New Roman" w:eastAsiaTheme="minorEastAsia" w:hAnsi="Times New Roman" w:cs="Times New Roman"/>
          <w:sz w:val="24"/>
          <w:szCs w:val="24"/>
          <w:lang w:val="en-US"/>
        </w:rPr>
        <w:t xml:space="preserve"> widen it, ensuring </w:t>
      </w:r>
      <w:r>
        <w:rPr>
          <w:rFonts w:ascii="Times New Roman" w:eastAsiaTheme="minorEastAsia" w:hAnsi="Times New Roman" w:cs="Times New Roman"/>
          <w:sz w:val="24"/>
          <w:szCs w:val="24"/>
          <w:lang w:val="en-US"/>
        </w:rPr>
        <w:t xml:space="preserve">the </w:t>
      </w:r>
      <w:r w:rsidRPr="007824DF">
        <w:rPr>
          <w:rFonts w:ascii="Times New Roman" w:eastAsiaTheme="minorEastAsia" w:hAnsi="Times New Roman" w:cs="Times New Roman"/>
          <w:sz w:val="24"/>
          <w:szCs w:val="24"/>
          <w:lang w:val="en-US"/>
        </w:rPr>
        <w:t>increase in volume of the services rendered to clearing members. As of December 31, 2013:</w:t>
      </w:r>
    </w:p>
    <w:p w:rsidR="00812E0F" w:rsidRDefault="00812E0F" w:rsidP="00472CA4">
      <w:pPr>
        <w:numPr>
          <w:ilvl w:val="0"/>
          <w:numId w:val="36"/>
        </w:numPr>
        <w:spacing w:after="120" w:line="240" w:lineRule="auto"/>
        <w:ind w:hanging="436"/>
        <w:jc w:val="both"/>
        <w:rPr>
          <w:rFonts w:ascii="Times New Roman" w:eastAsiaTheme="minorEastAsia" w:hAnsi="Times New Roman" w:cs="Times New Roman"/>
          <w:sz w:val="24"/>
          <w:szCs w:val="24"/>
          <w:lang w:val="en-US"/>
        </w:rPr>
      </w:pPr>
      <w:r w:rsidRPr="007824DF">
        <w:rPr>
          <w:rFonts w:ascii="Times New Roman" w:eastAsiaTheme="minorEastAsia" w:hAnsi="Times New Roman" w:cs="Times New Roman"/>
          <w:sz w:val="24"/>
          <w:szCs w:val="24"/>
          <w:lang w:val="en-US"/>
        </w:rPr>
        <w:t>number of clearing members total</w:t>
      </w:r>
      <w:r>
        <w:rPr>
          <w:rFonts w:ascii="Times New Roman" w:eastAsiaTheme="minorEastAsia" w:hAnsi="Times New Roman" w:cs="Times New Roman"/>
          <w:sz w:val="24"/>
          <w:szCs w:val="24"/>
          <w:lang w:val="en-US"/>
        </w:rPr>
        <w:t>ed</w:t>
      </w:r>
      <w:r w:rsidRPr="007824DF">
        <w:rPr>
          <w:rFonts w:ascii="Times New Roman" w:eastAsiaTheme="minorEastAsia" w:hAnsi="Times New Roman" w:cs="Times New Roman"/>
          <w:sz w:val="24"/>
          <w:szCs w:val="24"/>
          <w:lang w:val="en-US"/>
        </w:rPr>
        <w:t xml:space="preserve"> 840 institutions;</w:t>
      </w:r>
    </w:p>
    <w:p w:rsidR="00812E0F" w:rsidRPr="00953626" w:rsidRDefault="00812E0F" w:rsidP="00472CA4">
      <w:pPr>
        <w:widowControl w:val="0"/>
        <w:numPr>
          <w:ilvl w:val="0"/>
          <w:numId w:val="36"/>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n-US"/>
        </w:rPr>
      </w:pPr>
      <w:r w:rsidRPr="00953626">
        <w:rPr>
          <w:rFonts w:ascii="Times New Roman" w:hAnsi="Times New Roman"/>
          <w:sz w:val="24"/>
          <w:lang w:val="en-US"/>
        </w:rPr>
        <w:t xml:space="preserve"> </w:t>
      </w:r>
      <w:proofErr w:type="gramStart"/>
      <w:r w:rsidRPr="00953626">
        <w:rPr>
          <w:rFonts w:ascii="Times New Roman" w:hAnsi="Times New Roman"/>
          <w:sz w:val="24"/>
          <w:lang w:val="en-US"/>
        </w:rPr>
        <w:t>volume</w:t>
      </w:r>
      <w:proofErr w:type="gramEnd"/>
      <w:r w:rsidRPr="00953626">
        <w:rPr>
          <w:rFonts w:ascii="Times New Roman" w:hAnsi="Times New Roman"/>
          <w:sz w:val="24"/>
          <w:lang w:val="en-US"/>
        </w:rPr>
        <w:t xml:space="preserve"> of clearing participants' obligations determined on the basis of clearing results </w:t>
      </w:r>
      <w:r>
        <w:rPr>
          <w:rFonts w:ascii="Times New Roman" w:hAnsi="Times New Roman"/>
          <w:sz w:val="24"/>
          <w:lang w:val="en-US"/>
        </w:rPr>
        <w:t xml:space="preserve">exceeded </w:t>
      </w:r>
      <w:r w:rsidRPr="00953626">
        <w:rPr>
          <w:rFonts w:ascii="Times New Roman" w:hAnsi="Times New Roman"/>
          <w:sz w:val="24"/>
          <w:lang w:val="en-US"/>
        </w:rPr>
        <w:t xml:space="preserve"> </w:t>
      </w:r>
      <w:r w:rsidRPr="007824DF">
        <w:rPr>
          <w:rFonts w:ascii="Times New Roman" w:eastAsiaTheme="minorEastAsia" w:hAnsi="Times New Roman" w:cs="Times New Roman"/>
          <w:sz w:val="24"/>
          <w:szCs w:val="24"/>
          <w:lang w:val="en-US"/>
        </w:rPr>
        <w:t>1</w:t>
      </w:r>
      <w:r>
        <w:rPr>
          <w:rFonts w:ascii="Times New Roman" w:eastAsiaTheme="minorEastAsia" w:hAnsi="Times New Roman" w:cs="Times New Roman"/>
          <w:sz w:val="24"/>
          <w:szCs w:val="24"/>
          <w:lang w:val="en-US"/>
        </w:rPr>
        <w:t xml:space="preserve"> </w:t>
      </w:r>
      <w:r w:rsidRPr="007824DF">
        <w:rPr>
          <w:rFonts w:ascii="Times New Roman" w:eastAsiaTheme="minorEastAsia" w:hAnsi="Times New Roman" w:cs="Times New Roman"/>
          <w:sz w:val="24"/>
          <w:szCs w:val="24"/>
          <w:lang w:val="en-US"/>
        </w:rPr>
        <w:t xml:space="preserve">021 </w:t>
      </w:r>
      <w:proofErr w:type="spellStart"/>
      <w:r>
        <w:rPr>
          <w:rFonts w:ascii="Times New Roman" w:eastAsiaTheme="minorEastAsia" w:hAnsi="Times New Roman" w:cs="Times New Roman"/>
          <w:sz w:val="24"/>
          <w:szCs w:val="24"/>
          <w:lang w:val="en-US"/>
        </w:rPr>
        <w:t>trl</w:t>
      </w:r>
      <w:proofErr w:type="spellEnd"/>
      <w:r w:rsidRPr="007824DF">
        <w:rPr>
          <w:rFonts w:ascii="Times New Roman" w:eastAsiaTheme="minorEastAsia" w:hAnsi="Times New Roman" w:cs="Times New Roman"/>
          <w:sz w:val="24"/>
          <w:szCs w:val="24"/>
          <w:lang w:val="en-US"/>
        </w:rPr>
        <w:t xml:space="preserve"> RUB</w:t>
      </w:r>
      <w:r w:rsidRPr="00953626">
        <w:rPr>
          <w:rFonts w:ascii="Times New Roman" w:hAnsi="Times New Roman"/>
          <w:sz w:val="24"/>
          <w:lang w:val="en-US"/>
        </w:rPr>
        <w:t>s.</w:t>
      </w:r>
    </w:p>
    <w:p w:rsidR="00812E0F" w:rsidRPr="007824DF" w:rsidRDefault="00151445" w:rsidP="00472CA4">
      <w:pPr>
        <w:numPr>
          <w:ilvl w:val="0"/>
          <w:numId w:val="36"/>
        </w:numPr>
        <w:spacing w:after="120" w:line="240" w:lineRule="auto"/>
        <w:ind w:hanging="436"/>
        <w:jc w:val="both"/>
        <w:rPr>
          <w:rFonts w:ascii="Times New Roman" w:eastAsiaTheme="minorEastAsia" w:hAnsi="Times New Roman" w:cs="Times New Roman"/>
          <w:sz w:val="24"/>
          <w:szCs w:val="24"/>
          <w:lang w:val="en-US"/>
        </w:rPr>
      </w:pPr>
      <w:proofErr w:type="gramStart"/>
      <w:r>
        <w:rPr>
          <w:rFonts w:ascii="Times New Roman" w:eastAsiaTheme="minorEastAsia" w:hAnsi="Times New Roman" w:cs="Times New Roman"/>
          <w:sz w:val="24"/>
          <w:szCs w:val="24"/>
          <w:lang w:val="en-US"/>
        </w:rPr>
        <w:t>c</w:t>
      </w:r>
      <w:r w:rsidR="00812E0F" w:rsidRPr="007824DF">
        <w:rPr>
          <w:rFonts w:ascii="Times New Roman" w:eastAsiaTheme="minorEastAsia" w:hAnsi="Times New Roman" w:cs="Times New Roman"/>
          <w:sz w:val="24"/>
          <w:szCs w:val="24"/>
          <w:lang w:val="en-US"/>
        </w:rPr>
        <w:t>ommissions</w:t>
      </w:r>
      <w:proofErr w:type="gramEnd"/>
      <w:r w:rsidR="00812E0F" w:rsidRPr="007824DF">
        <w:rPr>
          <w:rFonts w:ascii="Times New Roman" w:eastAsiaTheme="minorEastAsia" w:hAnsi="Times New Roman" w:cs="Times New Roman"/>
          <w:sz w:val="24"/>
          <w:szCs w:val="24"/>
          <w:lang w:val="en-US"/>
        </w:rPr>
        <w:t xml:space="preserve"> received </w:t>
      </w:r>
      <w:r w:rsidR="00812E0F">
        <w:rPr>
          <w:rFonts w:ascii="Times New Roman" w:eastAsiaTheme="minorEastAsia" w:hAnsi="Times New Roman" w:cs="Times New Roman"/>
          <w:sz w:val="24"/>
          <w:szCs w:val="24"/>
          <w:lang w:val="en-US"/>
        </w:rPr>
        <w:t xml:space="preserve">totaled </w:t>
      </w:r>
      <w:r w:rsidR="00812E0F" w:rsidRPr="007824DF">
        <w:rPr>
          <w:rFonts w:ascii="Times New Roman" w:eastAsiaTheme="minorEastAsia" w:hAnsi="Times New Roman" w:cs="Times New Roman"/>
          <w:sz w:val="24"/>
          <w:szCs w:val="24"/>
          <w:lang w:val="en-US"/>
        </w:rPr>
        <w:t xml:space="preserve"> 3</w:t>
      </w:r>
      <w:r w:rsidR="00812E0F">
        <w:rPr>
          <w:rFonts w:ascii="Times New Roman" w:eastAsiaTheme="minorEastAsia" w:hAnsi="Times New Roman" w:cs="Times New Roman"/>
          <w:sz w:val="24"/>
          <w:szCs w:val="24"/>
          <w:lang w:val="en-US"/>
        </w:rPr>
        <w:t xml:space="preserve"> </w:t>
      </w:r>
      <w:r w:rsidR="00812E0F" w:rsidRPr="007824DF">
        <w:rPr>
          <w:rFonts w:ascii="Times New Roman" w:eastAsiaTheme="minorEastAsia" w:hAnsi="Times New Roman" w:cs="Times New Roman"/>
          <w:sz w:val="24"/>
          <w:szCs w:val="24"/>
          <w:lang w:val="en-US"/>
        </w:rPr>
        <w:t xml:space="preserve">440 </w:t>
      </w:r>
      <w:proofErr w:type="spellStart"/>
      <w:r w:rsidR="00812E0F" w:rsidRPr="007824DF">
        <w:rPr>
          <w:rFonts w:ascii="Times New Roman" w:eastAsiaTheme="minorEastAsia" w:hAnsi="Times New Roman" w:cs="Times New Roman"/>
          <w:sz w:val="24"/>
          <w:szCs w:val="24"/>
          <w:lang w:val="en-US"/>
        </w:rPr>
        <w:t>mln</w:t>
      </w:r>
      <w:proofErr w:type="spellEnd"/>
      <w:r w:rsidR="00812E0F" w:rsidRPr="007824DF">
        <w:rPr>
          <w:rFonts w:ascii="Times New Roman" w:eastAsiaTheme="minorEastAsia" w:hAnsi="Times New Roman" w:cs="Times New Roman"/>
          <w:sz w:val="24"/>
          <w:szCs w:val="24"/>
          <w:lang w:val="en-US"/>
        </w:rPr>
        <w:t xml:space="preserve"> RUB which is by 1.3 times higher than for the analogical indicator in 2012.</w:t>
      </w:r>
    </w:p>
    <w:p w:rsidR="00812E0F" w:rsidRPr="007824DF" w:rsidRDefault="00812E0F" w:rsidP="00812E0F">
      <w:pPr>
        <w:spacing w:after="120" w:line="240" w:lineRule="auto"/>
        <w:ind w:firstLine="567"/>
        <w:jc w:val="both"/>
        <w:rPr>
          <w:rFonts w:ascii="Times New Roman" w:eastAsiaTheme="minorEastAsia" w:hAnsi="Times New Roman" w:cs="Times New Roman"/>
          <w:sz w:val="24"/>
          <w:szCs w:val="24"/>
          <w:lang w:val="en-US"/>
        </w:rPr>
      </w:pPr>
    </w:p>
    <w:p w:rsidR="00812E0F" w:rsidRPr="007824DF" w:rsidRDefault="00812E0F" w:rsidP="00812E0F">
      <w:pPr>
        <w:spacing w:after="120" w:line="240" w:lineRule="auto"/>
        <w:ind w:firstLine="567"/>
        <w:jc w:val="both"/>
        <w:rPr>
          <w:rFonts w:ascii="Times New Roman" w:eastAsiaTheme="minorEastAsia" w:hAnsi="Times New Roman" w:cs="Times New Roman"/>
          <w:b/>
          <w:sz w:val="24"/>
          <w:szCs w:val="24"/>
          <w:lang w:val="en-US"/>
        </w:rPr>
      </w:pPr>
      <w:r w:rsidRPr="007824DF">
        <w:rPr>
          <w:rFonts w:ascii="Times New Roman" w:eastAsiaTheme="minorEastAsia" w:hAnsi="Times New Roman" w:cs="Times New Roman"/>
          <w:b/>
          <w:sz w:val="24"/>
          <w:szCs w:val="24"/>
          <w:lang w:val="en-US"/>
        </w:rPr>
        <w:t>Main performance indicators of CJSC JSCB in different markets presented in the following diagrams:</w:t>
      </w:r>
    </w:p>
    <w:p w:rsidR="00812E0F" w:rsidRPr="007824DF" w:rsidRDefault="00812E0F" w:rsidP="00812E0F">
      <w:pPr>
        <w:spacing w:after="120" w:line="240" w:lineRule="auto"/>
        <w:ind w:firstLine="567"/>
        <w:jc w:val="both"/>
        <w:rPr>
          <w:rFonts w:ascii="Times New Roman" w:eastAsiaTheme="minorEastAsia" w:hAnsi="Times New Roman" w:cs="Times New Roman"/>
          <w:sz w:val="24"/>
          <w:szCs w:val="24"/>
          <w:lang w:val="en-US"/>
        </w:rPr>
      </w:pPr>
      <w:r w:rsidRPr="007824DF">
        <w:rPr>
          <w:rFonts w:ascii="Times New Roman" w:eastAsiaTheme="minorEastAsia" w:hAnsi="Times New Roman" w:cs="Times New Roman"/>
          <w:noProof/>
          <w:sz w:val="24"/>
          <w:szCs w:val="24"/>
          <w:lang w:eastAsia="ru-RU"/>
        </w:rPr>
        <w:drawing>
          <wp:inline distT="0" distB="0" distL="0" distR="0" wp14:anchorId="03B851B3" wp14:editId="5123009D">
            <wp:extent cx="5429250" cy="278130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0" cy="2781300"/>
                    </a:xfrm>
                    <a:prstGeom prst="rect">
                      <a:avLst/>
                    </a:prstGeom>
                    <a:noFill/>
                    <a:ln>
                      <a:noFill/>
                    </a:ln>
                  </pic:spPr>
                </pic:pic>
              </a:graphicData>
            </a:graphic>
          </wp:inline>
        </w:drawing>
      </w:r>
    </w:p>
    <w:p w:rsidR="00812E0F" w:rsidRPr="007824DF" w:rsidRDefault="00812E0F" w:rsidP="00812E0F">
      <w:pPr>
        <w:spacing w:after="120" w:line="240" w:lineRule="auto"/>
        <w:ind w:firstLine="567"/>
        <w:jc w:val="both"/>
        <w:rPr>
          <w:rFonts w:ascii="Times New Roman" w:eastAsiaTheme="minorEastAsia" w:hAnsi="Times New Roman" w:cs="Times New Roman"/>
          <w:sz w:val="24"/>
          <w:szCs w:val="24"/>
          <w:lang w:val="en-US"/>
        </w:rPr>
      </w:pPr>
      <w:r w:rsidRPr="007824DF">
        <w:rPr>
          <w:rFonts w:ascii="Times New Roman" w:eastAsiaTheme="minorEastAsia" w:hAnsi="Times New Roman" w:cs="Times New Roman"/>
          <w:noProof/>
          <w:sz w:val="24"/>
          <w:szCs w:val="24"/>
          <w:lang w:eastAsia="ru-RU"/>
        </w:rPr>
        <w:drawing>
          <wp:inline distT="0" distB="0" distL="0" distR="0" wp14:anchorId="46DB76E7" wp14:editId="6C6D5D06">
            <wp:extent cx="5553075" cy="290512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3075" cy="2905125"/>
                    </a:xfrm>
                    <a:prstGeom prst="rect">
                      <a:avLst/>
                    </a:prstGeom>
                    <a:noFill/>
                    <a:ln>
                      <a:noFill/>
                    </a:ln>
                  </pic:spPr>
                </pic:pic>
              </a:graphicData>
            </a:graphic>
          </wp:inline>
        </w:drawing>
      </w:r>
    </w:p>
    <w:p w:rsidR="00812E0F" w:rsidRPr="007824DF" w:rsidRDefault="00812E0F" w:rsidP="00812E0F">
      <w:pPr>
        <w:spacing w:after="120" w:line="240" w:lineRule="auto"/>
        <w:ind w:firstLine="567"/>
        <w:jc w:val="both"/>
        <w:rPr>
          <w:rFonts w:ascii="Times New Roman" w:eastAsiaTheme="minorEastAsia" w:hAnsi="Times New Roman" w:cs="Times New Roman"/>
          <w:sz w:val="24"/>
          <w:szCs w:val="24"/>
          <w:lang w:val="en-US"/>
        </w:rPr>
      </w:pPr>
    </w:p>
    <w:p w:rsidR="00812E0F" w:rsidRPr="007824DF" w:rsidRDefault="00812E0F" w:rsidP="00812E0F">
      <w:pPr>
        <w:spacing w:after="120" w:line="240" w:lineRule="auto"/>
        <w:ind w:firstLine="567"/>
        <w:jc w:val="both"/>
        <w:rPr>
          <w:rFonts w:ascii="Times New Roman" w:eastAsiaTheme="minorEastAsia" w:hAnsi="Times New Roman" w:cs="Times New Roman"/>
          <w:sz w:val="24"/>
          <w:szCs w:val="24"/>
          <w:lang w:val="en-US"/>
        </w:rPr>
      </w:pPr>
      <w:r w:rsidRPr="007824DF">
        <w:rPr>
          <w:rFonts w:ascii="Times New Roman" w:eastAsiaTheme="minorEastAsia" w:hAnsi="Times New Roman" w:cs="Times New Roman"/>
          <w:noProof/>
          <w:sz w:val="24"/>
          <w:szCs w:val="24"/>
          <w:lang w:eastAsia="ru-RU"/>
        </w:rPr>
        <w:drawing>
          <wp:inline distT="0" distB="0" distL="0" distR="0" wp14:anchorId="3A96989B" wp14:editId="3E693BAA">
            <wp:extent cx="5514975" cy="2847975"/>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4975" cy="2847975"/>
                    </a:xfrm>
                    <a:prstGeom prst="rect">
                      <a:avLst/>
                    </a:prstGeom>
                    <a:noFill/>
                    <a:ln>
                      <a:noFill/>
                    </a:ln>
                  </pic:spPr>
                </pic:pic>
              </a:graphicData>
            </a:graphic>
          </wp:inline>
        </w:drawing>
      </w:r>
    </w:p>
    <w:p w:rsidR="00961E31" w:rsidRPr="00961E31" w:rsidRDefault="00961E31" w:rsidP="00961E31">
      <w:pPr>
        <w:spacing w:after="120" w:line="240" w:lineRule="auto"/>
        <w:ind w:firstLine="360"/>
        <w:jc w:val="both"/>
        <w:rPr>
          <w:rFonts w:ascii="Times New Roman" w:eastAsiaTheme="minorEastAsia" w:hAnsi="Times New Roman" w:cs="Times New Roman"/>
          <w:sz w:val="24"/>
          <w:szCs w:val="24"/>
          <w:lang w:val="en-US"/>
        </w:rPr>
      </w:pPr>
    </w:p>
    <w:p w:rsidR="00961E31" w:rsidRPr="00961E31" w:rsidRDefault="00961E31" w:rsidP="00961E31">
      <w:pPr>
        <w:spacing w:after="120" w:line="240" w:lineRule="auto"/>
        <w:ind w:firstLine="360"/>
        <w:jc w:val="both"/>
        <w:rPr>
          <w:rFonts w:ascii="Times New Roman" w:eastAsiaTheme="minorEastAsia" w:hAnsi="Times New Roman" w:cs="Times New Roman"/>
          <w:sz w:val="24"/>
          <w:szCs w:val="24"/>
          <w:lang w:val="en-US"/>
        </w:rPr>
      </w:pPr>
    </w:p>
    <w:p w:rsidR="00961E31" w:rsidRPr="00961E31" w:rsidRDefault="00961E31" w:rsidP="00961E31">
      <w:pPr>
        <w:widowControl w:val="0"/>
        <w:overflowPunct w:val="0"/>
        <w:autoSpaceDE w:val="0"/>
        <w:autoSpaceDN w:val="0"/>
        <w:adjustRightInd w:val="0"/>
        <w:spacing w:after="0" w:line="240" w:lineRule="auto"/>
        <w:contextualSpacing/>
        <w:jc w:val="center"/>
        <w:textAlignment w:val="baseline"/>
        <w:outlineLvl w:val="0"/>
        <w:rPr>
          <w:rFonts w:ascii="Times New Roman" w:eastAsia="Times New Roman" w:hAnsi="Times New Roman" w:cs="Arial"/>
          <w:b/>
          <w:sz w:val="28"/>
          <w:szCs w:val="28"/>
          <w:lang w:val="en-US" w:eastAsia="ru-RU"/>
        </w:rPr>
      </w:pPr>
    </w:p>
    <w:p w:rsidR="00961E31" w:rsidRPr="00961E31" w:rsidRDefault="00961E31" w:rsidP="00961E31">
      <w:pPr>
        <w:widowControl w:val="0"/>
        <w:overflowPunct w:val="0"/>
        <w:autoSpaceDE w:val="0"/>
        <w:autoSpaceDN w:val="0"/>
        <w:adjustRightInd w:val="0"/>
        <w:spacing w:after="0" w:line="240" w:lineRule="auto"/>
        <w:ind w:left="502"/>
        <w:contextualSpacing/>
        <w:textAlignment w:val="baseline"/>
        <w:outlineLvl w:val="0"/>
        <w:rPr>
          <w:rFonts w:ascii="Times New Roman" w:eastAsia="Times New Roman" w:hAnsi="Times New Roman" w:cs="Arial"/>
          <w:b/>
          <w:sz w:val="28"/>
          <w:szCs w:val="28"/>
          <w:lang w:val="en-US" w:eastAsia="ru-RU"/>
        </w:rPr>
      </w:pPr>
    </w:p>
    <w:p w:rsidR="00961E31" w:rsidRDefault="00961E31" w:rsidP="008C2120">
      <w:pPr>
        <w:keepNext/>
        <w:widowControl w:val="0"/>
        <w:overflowPunct w:val="0"/>
        <w:autoSpaceDE w:val="0"/>
        <w:autoSpaceDN w:val="0"/>
        <w:adjustRightInd w:val="0"/>
        <w:spacing w:before="100" w:after="120" w:line="240" w:lineRule="auto"/>
        <w:jc w:val="center"/>
        <w:textAlignment w:val="baseline"/>
        <w:outlineLvl w:val="0"/>
        <w:rPr>
          <w:rFonts w:ascii="Times New Roman" w:eastAsia="Times New Roman" w:hAnsi="Times New Roman" w:cs="Times New Roman"/>
          <w:b/>
          <w:bCs/>
          <w:kern w:val="32"/>
          <w:sz w:val="28"/>
          <w:szCs w:val="28"/>
          <w:lang w:val="en-US" w:eastAsia="ru-RU"/>
        </w:rPr>
      </w:pPr>
    </w:p>
    <w:p w:rsidR="00961E31" w:rsidRDefault="00961E31" w:rsidP="008C2120">
      <w:pPr>
        <w:keepNext/>
        <w:widowControl w:val="0"/>
        <w:overflowPunct w:val="0"/>
        <w:autoSpaceDE w:val="0"/>
        <w:autoSpaceDN w:val="0"/>
        <w:adjustRightInd w:val="0"/>
        <w:spacing w:before="100" w:after="120" w:line="240" w:lineRule="auto"/>
        <w:jc w:val="center"/>
        <w:textAlignment w:val="baseline"/>
        <w:outlineLvl w:val="0"/>
        <w:rPr>
          <w:rFonts w:ascii="Times New Roman" w:eastAsia="Times New Roman" w:hAnsi="Times New Roman" w:cs="Times New Roman"/>
          <w:b/>
          <w:bCs/>
          <w:kern w:val="32"/>
          <w:sz w:val="28"/>
          <w:szCs w:val="28"/>
          <w:lang w:val="en-US" w:eastAsia="ru-RU"/>
        </w:rPr>
      </w:pPr>
    </w:p>
    <w:p w:rsidR="008C2120" w:rsidRPr="00CC3507" w:rsidRDefault="008C2120" w:rsidP="008C2120">
      <w:pPr>
        <w:keepNext/>
        <w:widowControl w:val="0"/>
        <w:overflowPunct w:val="0"/>
        <w:autoSpaceDE w:val="0"/>
        <w:autoSpaceDN w:val="0"/>
        <w:adjustRightInd w:val="0"/>
        <w:spacing w:before="100" w:after="120" w:line="240" w:lineRule="auto"/>
        <w:jc w:val="center"/>
        <w:textAlignment w:val="baseline"/>
        <w:outlineLvl w:val="0"/>
        <w:rPr>
          <w:rFonts w:ascii="Times New Roman" w:eastAsia="Times New Roman" w:hAnsi="Times New Roman" w:cs="Times New Roman"/>
          <w:b/>
          <w:bCs/>
          <w:kern w:val="32"/>
          <w:sz w:val="28"/>
          <w:szCs w:val="28"/>
          <w:lang w:val="en-US" w:eastAsia="ru-RU"/>
        </w:rPr>
      </w:pPr>
      <w:proofErr w:type="gramStart"/>
      <w:r w:rsidRPr="00812E0F">
        <w:rPr>
          <w:rFonts w:ascii="Times New Roman" w:eastAsia="Times New Roman" w:hAnsi="Times New Roman" w:cs="Times New Roman"/>
          <w:b/>
          <w:bCs/>
          <w:kern w:val="32"/>
          <w:sz w:val="28"/>
          <w:szCs w:val="28"/>
          <w:lang w:val="en-US" w:eastAsia="ru-RU"/>
        </w:rPr>
        <w:t>4.</w:t>
      </w:r>
      <w:r w:rsidRPr="00CC3507">
        <w:rPr>
          <w:rFonts w:ascii="Times New Roman" w:eastAsia="Times New Roman" w:hAnsi="Times New Roman" w:cs="Times New Roman"/>
          <w:b/>
          <w:bCs/>
          <w:kern w:val="32"/>
          <w:sz w:val="28"/>
          <w:szCs w:val="28"/>
          <w:lang w:val="en-US" w:eastAsia="ru-RU"/>
        </w:rPr>
        <w:t>Prospects</w:t>
      </w:r>
      <w:proofErr w:type="gramEnd"/>
      <w:r w:rsidRPr="00CC3507">
        <w:rPr>
          <w:rFonts w:ascii="Times New Roman" w:eastAsia="Times New Roman" w:hAnsi="Times New Roman" w:cs="Times New Roman"/>
          <w:b/>
          <w:bCs/>
          <w:kern w:val="32"/>
          <w:sz w:val="28"/>
          <w:szCs w:val="28"/>
          <w:lang w:val="en-US" w:eastAsia="ru-RU"/>
        </w:rPr>
        <w:t xml:space="preserve"> for development</w:t>
      </w:r>
      <w:bookmarkEnd w:id="1"/>
    </w:p>
    <w:p w:rsidR="00BF056B" w:rsidRPr="00CC3507" w:rsidRDefault="00BF056B" w:rsidP="00BF056B">
      <w:pPr>
        <w:keepNext/>
        <w:widowControl w:val="0"/>
        <w:overflowPunct w:val="0"/>
        <w:autoSpaceDE w:val="0"/>
        <w:autoSpaceDN w:val="0"/>
        <w:adjustRightInd w:val="0"/>
        <w:spacing w:before="100" w:after="120" w:line="240" w:lineRule="auto"/>
        <w:jc w:val="center"/>
        <w:textAlignment w:val="baseline"/>
        <w:outlineLvl w:val="0"/>
        <w:rPr>
          <w:rFonts w:ascii="Times New Roman" w:eastAsia="Times New Roman" w:hAnsi="Times New Roman" w:cs="Times New Roman"/>
          <w:b/>
          <w:bCs/>
          <w:kern w:val="32"/>
          <w:sz w:val="28"/>
          <w:szCs w:val="28"/>
          <w:lang w:val="en-US" w:eastAsia="ru-RU"/>
        </w:rPr>
      </w:pPr>
    </w:p>
    <w:p w:rsidR="00BF056B" w:rsidRPr="00CC3507" w:rsidRDefault="00BF056B" w:rsidP="00BF056B">
      <w:pPr>
        <w:spacing w:after="120" w:line="240" w:lineRule="auto"/>
        <w:ind w:firstLine="567"/>
        <w:jc w:val="both"/>
        <w:rPr>
          <w:rFonts w:ascii="Times New Roman" w:eastAsiaTheme="minorEastAsia" w:hAnsi="Times New Roman" w:cs="Times New Roman"/>
          <w:sz w:val="24"/>
          <w:szCs w:val="24"/>
          <w:lang w:val="en-US"/>
        </w:rPr>
      </w:pPr>
    </w:p>
    <w:p w:rsidR="00BF056B" w:rsidRPr="00CC3507" w:rsidRDefault="00BF056B" w:rsidP="00BF056B">
      <w:pPr>
        <w:spacing w:after="120" w:line="240" w:lineRule="auto"/>
        <w:ind w:firstLine="567"/>
        <w:jc w:val="both"/>
        <w:rPr>
          <w:rFonts w:ascii="Times New Roman" w:eastAsiaTheme="minorEastAsia" w:hAnsi="Times New Roman" w:cs="Times New Roman"/>
          <w:sz w:val="24"/>
          <w:szCs w:val="24"/>
          <w:lang w:val="en-US"/>
        </w:rPr>
      </w:pPr>
      <w:r w:rsidRPr="00CC3507">
        <w:rPr>
          <w:rFonts w:ascii="Times New Roman" w:eastAsiaTheme="minorEastAsia" w:hAnsi="Times New Roman" w:cs="Times New Roman"/>
          <w:sz w:val="24"/>
          <w:szCs w:val="24"/>
          <w:lang w:val="en-US"/>
        </w:rPr>
        <w:t xml:space="preserve">Prospects of NCC development in 2013-2015 </w:t>
      </w:r>
      <w:r w:rsidR="00207DDC">
        <w:rPr>
          <w:rFonts w:ascii="Times New Roman" w:eastAsiaTheme="minorEastAsia" w:hAnsi="Times New Roman" w:cs="Times New Roman"/>
          <w:sz w:val="24"/>
          <w:szCs w:val="24"/>
          <w:lang w:val="en-US"/>
        </w:rPr>
        <w:t>will be</w:t>
      </w:r>
      <w:r w:rsidRPr="00CC3507">
        <w:rPr>
          <w:rFonts w:ascii="Times New Roman" w:eastAsiaTheme="minorEastAsia" w:hAnsi="Times New Roman" w:cs="Times New Roman"/>
          <w:sz w:val="24"/>
          <w:szCs w:val="24"/>
          <w:lang w:val="en-US"/>
        </w:rPr>
        <w:t xml:space="preserve"> associated with the implementation of the Bank and Moscow Exchange Group’s strategic business infrastructure projects:</w:t>
      </w:r>
    </w:p>
    <w:p w:rsidR="00BF056B" w:rsidRPr="00CC3507" w:rsidRDefault="00BF056B" w:rsidP="00BF056B">
      <w:pPr>
        <w:spacing w:after="120" w:line="240" w:lineRule="auto"/>
        <w:ind w:firstLine="567"/>
        <w:jc w:val="both"/>
        <w:rPr>
          <w:rFonts w:ascii="Times New Roman" w:eastAsia="Times New Roman" w:hAnsi="Times New Roman" w:cs="Times New Roman"/>
          <w:bCs/>
          <w:sz w:val="24"/>
          <w:szCs w:val="24"/>
          <w:lang w:val="en-US"/>
        </w:rPr>
      </w:pPr>
    </w:p>
    <w:p w:rsidR="00BF056B" w:rsidRPr="00CC3507" w:rsidRDefault="00BF056B" w:rsidP="00BF056B">
      <w:pPr>
        <w:spacing w:after="120" w:line="240" w:lineRule="auto"/>
        <w:ind w:firstLine="567"/>
        <w:jc w:val="both"/>
        <w:rPr>
          <w:rFonts w:ascii="Times New Roman" w:eastAsiaTheme="minorEastAsia" w:hAnsi="Times New Roman" w:cs="Times New Roman"/>
          <w:b/>
          <w:kern w:val="24"/>
          <w:sz w:val="24"/>
          <w:szCs w:val="24"/>
          <w:lang w:val="en-US"/>
        </w:rPr>
      </w:pPr>
      <w:r w:rsidRPr="00CC3507">
        <w:rPr>
          <w:rFonts w:ascii="Times New Roman" w:eastAsia="Times New Roman" w:hAnsi="Times New Roman" w:cs="Times New Roman"/>
          <w:b/>
          <w:bCs/>
          <w:sz w:val="24"/>
          <w:szCs w:val="24"/>
          <w:lang w:val="en-US"/>
        </w:rPr>
        <w:t xml:space="preserve">I. </w:t>
      </w:r>
      <w:r w:rsidRPr="00CC3507">
        <w:rPr>
          <w:rFonts w:ascii="Times New Roman" w:eastAsiaTheme="minorEastAsia" w:hAnsi="Times New Roman" w:cs="Times New Roman"/>
          <w:b/>
          <w:kern w:val="24"/>
          <w:sz w:val="24"/>
          <w:szCs w:val="24"/>
          <w:lang w:val="en-US"/>
        </w:rPr>
        <w:t xml:space="preserve">NCC's participation in strategic business projects of the Group </w:t>
      </w:r>
      <w:r w:rsidRPr="001D7C7A">
        <w:rPr>
          <w:rFonts w:ascii="Times New Roman" w:eastAsiaTheme="minorEastAsia" w:hAnsi="Times New Roman" w:cs="Times New Roman"/>
          <w:b/>
          <w:kern w:val="24"/>
          <w:sz w:val="24"/>
          <w:szCs w:val="24"/>
          <w:lang w:val="en-US"/>
        </w:rPr>
        <w:t>on clearing development</w:t>
      </w:r>
    </w:p>
    <w:p w:rsidR="00BF056B" w:rsidRPr="00CC3507" w:rsidRDefault="00BF056B" w:rsidP="00BF056B">
      <w:pPr>
        <w:spacing w:after="120" w:line="240" w:lineRule="auto"/>
        <w:ind w:firstLine="567"/>
        <w:jc w:val="both"/>
        <w:rPr>
          <w:rFonts w:ascii="Times New Roman" w:eastAsiaTheme="minorEastAsia" w:hAnsi="Times New Roman" w:cs="Times New Roman"/>
          <w:b/>
          <w:i/>
          <w:kern w:val="24"/>
          <w:sz w:val="24"/>
          <w:szCs w:val="24"/>
          <w:lang w:val="en-US"/>
        </w:rPr>
      </w:pPr>
    </w:p>
    <w:p w:rsidR="00BF056B" w:rsidRPr="00CC3507" w:rsidRDefault="00BF056B" w:rsidP="00BF056B">
      <w:pPr>
        <w:spacing w:after="120" w:line="240" w:lineRule="auto"/>
        <w:ind w:firstLine="567"/>
        <w:jc w:val="both"/>
        <w:rPr>
          <w:rFonts w:ascii="Times New Roman" w:eastAsiaTheme="minorEastAsia" w:hAnsi="Times New Roman" w:cs="Times New Roman"/>
          <w:kern w:val="24"/>
          <w:sz w:val="24"/>
          <w:szCs w:val="24"/>
          <w:lang w:val="en-US"/>
        </w:rPr>
      </w:pPr>
      <w:r w:rsidRPr="00CC3507">
        <w:rPr>
          <w:rFonts w:ascii="Times New Roman" w:eastAsiaTheme="minorEastAsia" w:hAnsi="Times New Roman" w:cs="Times New Roman"/>
          <w:kern w:val="24"/>
          <w:sz w:val="24"/>
          <w:szCs w:val="24"/>
          <w:lang w:val="en-US"/>
        </w:rPr>
        <w:t xml:space="preserve">1. Clearing </w:t>
      </w:r>
      <w:r>
        <w:rPr>
          <w:rFonts w:ascii="Times New Roman" w:eastAsiaTheme="minorEastAsia" w:hAnsi="Times New Roman" w:cs="Times New Roman"/>
          <w:kern w:val="24"/>
          <w:sz w:val="24"/>
          <w:szCs w:val="24"/>
          <w:lang w:val="en-US"/>
        </w:rPr>
        <w:t xml:space="preserve">consolidation </w:t>
      </w:r>
      <w:r w:rsidRPr="00CC3507">
        <w:rPr>
          <w:rFonts w:ascii="Times New Roman" w:eastAsiaTheme="minorEastAsia" w:hAnsi="Times New Roman" w:cs="Times New Roman"/>
          <w:kern w:val="24"/>
          <w:sz w:val="24"/>
          <w:szCs w:val="24"/>
          <w:lang w:val="en-US"/>
        </w:rPr>
        <w:t xml:space="preserve">in different markets (gradual introduction of unified collateral, unified </w:t>
      </w:r>
      <w:r>
        <w:rPr>
          <w:rFonts w:ascii="Times New Roman" w:eastAsiaTheme="minorEastAsia" w:hAnsi="Times New Roman" w:cs="Times New Roman"/>
          <w:kern w:val="24"/>
          <w:sz w:val="24"/>
          <w:szCs w:val="24"/>
          <w:lang w:val="en-US"/>
        </w:rPr>
        <w:t xml:space="preserve">margin </w:t>
      </w:r>
      <w:r w:rsidRPr="00CC3507">
        <w:rPr>
          <w:rFonts w:ascii="Times New Roman" w:eastAsiaTheme="minorEastAsia" w:hAnsi="Times New Roman" w:cs="Times New Roman"/>
          <w:kern w:val="24"/>
          <w:sz w:val="24"/>
          <w:szCs w:val="24"/>
          <w:lang w:val="en-US"/>
        </w:rPr>
        <w:t>and settlements for exchange, derivatives and securities markets).</w:t>
      </w:r>
    </w:p>
    <w:p w:rsidR="00BF056B" w:rsidRPr="00CC3507" w:rsidRDefault="00BF056B" w:rsidP="00BF056B">
      <w:pPr>
        <w:spacing w:after="120" w:line="240" w:lineRule="auto"/>
        <w:ind w:firstLine="567"/>
        <w:jc w:val="both"/>
        <w:rPr>
          <w:rFonts w:ascii="Times New Roman" w:eastAsiaTheme="minorEastAsia" w:hAnsi="Times New Roman" w:cs="Times New Roman"/>
          <w:kern w:val="24"/>
          <w:sz w:val="24"/>
          <w:szCs w:val="24"/>
          <w:lang w:val="en-US"/>
        </w:rPr>
      </w:pPr>
    </w:p>
    <w:p w:rsidR="00BF056B" w:rsidRPr="00CC3507" w:rsidRDefault="00BF056B" w:rsidP="00BF056B">
      <w:pPr>
        <w:spacing w:after="120" w:line="240" w:lineRule="auto"/>
        <w:ind w:firstLine="567"/>
        <w:jc w:val="both"/>
        <w:rPr>
          <w:rFonts w:ascii="Times New Roman" w:eastAsiaTheme="minorEastAsia" w:hAnsi="Times New Roman" w:cs="Times New Roman"/>
          <w:kern w:val="24"/>
          <w:sz w:val="24"/>
          <w:szCs w:val="24"/>
          <w:lang w:val="en-US"/>
        </w:rPr>
      </w:pPr>
      <w:r w:rsidRPr="00CC3507">
        <w:rPr>
          <w:rFonts w:ascii="Times New Roman" w:eastAsiaTheme="minorEastAsia" w:hAnsi="Times New Roman" w:cs="Times New Roman"/>
          <w:kern w:val="24"/>
          <w:sz w:val="24"/>
          <w:szCs w:val="24"/>
          <w:lang w:val="en-US"/>
        </w:rPr>
        <w:t xml:space="preserve">This project </w:t>
      </w:r>
      <w:r w:rsidR="00207DDC">
        <w:rPr>
          <w:rFonts w:ascii="Times New Roman" w:eastAsiaTheme="minorEastAsia" w:hAnsi="Times New Roman" w:cs="Times New Roman"/>
          <w:kern w:val="24"/>
          <w:sz w:val="24"/>
          <w:szCs w:val="24"/>
          <w:lang w:val="en-US"/>
        </w:rPr>
        <w:t>of</w:t>
      </w:r>
      <w:r w:rsidR="00D55472">
        <w:rPr>
          <w:rFonts w:ascii="Times New Roman" w:eastAsiaTheme="minorEastAsia" w:hAnsi="Times New Roman" w:cs="Times New Roman"/>
          <w:kern w:val="24"/>
          <w:sz w:val="24"/>
          <w:szCs w:val="24"/>
          <w:lang w:val="en-US"/>
        </w:rPr>
        <w:t xml:space="preserve"> </w:t>
      </w:r>
      <w:r w:rsidRPr="00CC3507">
        <w:rPr>
          <w:rFonts w:ascii="Times New Roman" w:eastAsiaTheme="minorEastAsia" w:hAnsi="Times New Roman" w:cs="Times New Roman"/>
          <w:kern w:val="24"/>
          <w:sz w:val="24"/>
          <w:szCs w:val="24"/>
          <w:lang w:val="en-US"/>
        </w:rPr>
        <w:t xml:space="preserve">clearing modernization is one of the most priority projects of Moscow Exchange Group ensuring efficiency and quality of rendered clearing services and lowering risks on trades </w:t>
      </w:r>
      <w:r w:rsidRPr="00D61149">
        <w:rPr>
          <w:rFonts w:ascii="Times New Roman" w:eastAsiaTheme="minorEastAsia" w:hAnsi="Times New Roman" w:cs="Times New Roman"/>
          <w:kern w:val="24"/>
          <w:sz w:val="24"/>
          <w:szCs w:val="24"/>
          <w:lang w:val="en-US"/>
        </w:rPr>
        <w:t>in</w:t>
      </w:r>
      <w:r w:rsidRPr="00CC3507">
        <w:rPr>
          <w:rFonts w:ascii="Times New Roman" w:eastAsiaTheme="minorEastAsia" w:hAnsi="Times New Roman" w:cs="Times New Roman"/>
          <w:kern w:val="24"/>
          <w:sz w:val="24"/>
          <w:szCs w:val="24"/>
          <w:lang w:val="en-US"/>
        </w:rPr>
        <w:t xml:space="preserve"> the organized markets. Due to its immensity the initiative on clearing modernization is made up of several stages and stipulates realization of the following projects:</w:t>
      </w:r>
    </w:p>
    <w:p w:rsidR="00BF056B" w:rsidRPr="00CC3507" w:rsidRDefault="00BF056B" w:rsidP="00BF056B">
      <w:pPr>
        <w:numPr>
          <w:ilvl w:val="0"/>
          <w:numId w:val="12"/>
        </w:numPr>
        <w:spacing w:after="120" w:line="240" w:lineRule="auto"/>
        <w:ind w:hanging="436"/>
        <w:jc w:val="both"/>
        <w:rPr>
          <w:rFonts w:ascii="Times New Roman" w:eastAsia="Times New Roman" w:hAnsi="Times New Roman" w:cs="Times New Roman"/>
          <w:bCs/>
          <w:sz w:val="24"/>
          <w:szCs w:val="24"/>
          <w:lang w:val="en-US"/>
        </w:rPr>
      </w:pPr>
      <w:r w:rsidRPr="00CC3507">
        <w:rPr>
          <w:rFonts w:ascii="Times New Roman" w:eastAsiaTheme="minorEastAsia" w:hAnsi="Times New Roman" w:cs="Times New Roman"/>
          <w:kern w:val="24"/>
          <w:sz w:val="24"/>
          <w:szCs w:val="24"/>
          <w:lang w:val="en-US"/>
        </w:rPr>
        <w:t>Integration of accounts and cross-default management;</w:t>
      </w:r>
    </w:p>
    <w:p w:rsidR="00BF056B" w:rsidRPr="00CC3507" w:rsidRDefault="00BF056B" w:rsidP="00BF056B">
      <w:pPr>
        <w:numPr>
          <w:ilvl w:val="0"/>
          <w:numId w:val="12"/>
        </w:numPr>
        <w:spacing w:after="120" w:line="240" w:lineRule="auto"/>
        <w:ind w:hanging="436"/>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 xml:space="preserve">Unified collateral pool, integrated </w:t>
      </w:r>
      <w:r>
        <w:rPr>
          <w:rFonts w:ascii="Times New Roman" w:eastAsia="Times New Roman" w:hAnsi="Times New Roman" w:cs="Times New Roman"/>
          <w:bCs/>
          <w:sz w:val="24"/>
          <w:szCs w:val="24"/>
          <w:lang w:val="en-US"/>
        </w:rPr>
        <w:t>post-</w:t>
      </w:r>
      <w:r w:rsidRPr="00CC3507">
        <w:rPr>
          <w:rFonts w:ascii="Times New Roman" w:eastAsia="Times New Roman" w:hAnsi="Times New Roman" w:cs="Times New Roman"/>
          <w:bCs/>
          <w:sz w:val="24"/>
          <w:szCs w:val="24"/>
          <w:lang w:val="en-US"/>
        </w:rPr>
        <w:t>trading risk management system;</w:t>
      </w:r>
    </w:p>
    <w:p w:rsidR="00BF056B" w:rsidRPr="00CC3507" w:rsidRDefault="00BF056B" w:rsidP="00BF056B">
      <w:pPr>
        <w:numPr>
          <w:ilvl w:val="0"/>
          <w:numId w:val="12"/>
        </w:numPr>
        <w:spacing w:after="120" w:line="240" w:lineRule="auto"/>
        <w:ind w:hanging="436"/>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EIF</w:t>
      </w:r>
      <w:r w:rsidR="00F75DD0">
        <w:rPr>
          <w:rFonts w:ascii="Times New Roman" w:eastAsia="Times New Roman" w:hAnsi="Times New Roman" w:cs="Times New Roman"/>
          <w:bCs/>
          <w:sz w:val="24"/>
          <w:szCs w:val="24"/>
          <w:lang w:val="en-US"/>
        </w:rPr>
        <w:t xml:space="preserve"> (Exchange Information Fabric)</w:t>
      </w:r>
      <w:r w:rsidRPr="00CC3507">
        <w:rPr>
          <w:rFonts w:ascii="Times New Roman" w:eastAsia="Times New Roman" w:hAnsi="Times New Roman" w:cs="Times New Roman"/>
          <w:bCs/>
          <w:sz w:val="24"/>
          <w:szCs w:val="24"/>
          <w:lang w:val="en-US"/>
        </w:rPr>
        <w:t xml:space="preserve"> project.</w:t>
      </w:r>
    </w:p>
    <w:p w:rsidR="00BF056B" w:rsidRPr="00CC3507" w:rsidRDefault="00BF056B" w:rsidP="00BF056B">
      <w:pPr>
        <w:spacing w:after="120" w:line="240" w:lineRule="auto"/>
        <w:ind w:left="360" w:firstLine="567"/>
        <w:jc w:val="both"/>
        <w:rPr>
          <w:rFonts w:ascii="Times New Roman" w:eastAsia="Times New Roman" w:hAnsi="Times New Roman" w:cs="Times New Roman"/>
          <w:bCs/>
          <w:sz w:val="24"/>
          <w:szCs w:val="24"/>
          <w:lang w:val="en-US"/>
        </w:rPr>
      </w:pPr>
    </w:p>
    <w:p w:rsidR="00BF056B" w:rsidRPr="00CC3507" w:rsidRDefault="00BF056B" w:rsidP="00BF056B">
      <w:pPr>
        <w:spacing w:after="120" w:line="240" w:lineRule="auto"/>
        <w:ind w:firstLine="567"/>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 xml:space="preserve">Introduction of unified clearing for different markets of the Group will enable clearing members to divide positions and collateral by clients, markets, instruments and simultaneously decrease </w:t>
      </w:r>
      <w:r>
        <w:rPr>
          <w:rFonts w:ascii="Times New Roman" w:eastAsia="Times New Roman" w:hAnsi="Times New Roman" w:cs="Times New Roman"/>
          <w:bCs/>
          <w:sz w:val="24"/>
          <w:szCs w:val="24"/>
          <w:lang w:val="en-US"/>
        </w:rPr>
        <w:t xml:space="preserve">the total </w:t>
      </w:r>
      <w:r w:rsidRPr="00E43538">
        <w:rPr>
          <w:rFonts w:ascii="Times New Roman" w:eastAsia="Times New Roman" w:hAnsi="Times New Roman" w:cs="Times New Roman"/>
          <w:bCs/>
          <w:sz w:val="24"/>
          <w:szCs w:val="24"/>
          <w:lang w:val="en-US"/>
        </w:rPr>
        <w:t>members</w:t>
      </w:r>
      <w:r>
        <w:rPr>
          <w:rFonts w:ascii="Times New Roman" w:eastAsia="Times New Roman" w:hAnsi="Times New Roman" w:cs="Times New Roman"/>
          <w:bCs/>
          <w:sz w:val="24"/>
          <w:szCs w:val="24"/>
          <w:lang w:val="en-US"/>
        </w:rPr>
        <w:t xml:space="preserve">` costs </w:t>
      </w:r>
      <w:r w:rsidRPr="00CC3507">
        <w:rPr>
          <w:rFonts w:ascii="Times New Roman" w:eastAsia="Times New Roman" w:hAnsi="Times New Roman" w:cs="Times New Roman"/>
          <w:bCs/>
          <w:sz w:val="24"/>
          <w:szCs w:val="24"/>
          <w:lang w:val="en-US"/>
        </w:rPr>
        <w:t xml:space="preserve"> as well as to optimize liquidity management</w:t>
      </w:r>
      <w:r w:rsidR="00C677AE">
        <w:rPr>
          <w:rFonts w:ascii="Times New Roman" w:eastAsia="Times New Roman" w:hAnsi="Times New Roman" w:cs="Times New Roman"/>
          <w:bCs/>
          <w:sz w:val="24"/>
          <w:szCs w:val="24"/>
          <w:lang w:val="en-US"/>
        </w:rPr>
        <w:t>,</w:t>
      </w:r>
      <w:r w:rsidRPr="00CC3507">
        <w:rPr>
          <w:rFonts w:ascii="Times New Roman" w:eastAsia="Times New Roman" w:hAnsi="Times New Roman" w:cs="Times New Roman"/>
          <w:bCs/>
          <w:sz w:val="24"/>
          <w:szCs w:val="24"/>
          <w:lang w:val="en-US"/>
        </w:rPr>
        <w:t xml:space="preserve"> </w:t>
      </w:r>
      <w:r w:rsidR="00C677AE">
        <w:rPr>
          <w:rFonts w:ascii="Times New Roman" w:eastAsia="Times New Roman" w:hAnsi="Times New Roman" w:cs="Times New Roman"/>
          <w:bCs/>
          <w:sz w:val="24"/>
          <w:szCs w:val="24"/>
          <w:lang w:val="en-US"/>
        </w:rPr>
        <w:t xml:space="preserve">and specifically </w:t>
      </w:r>
      <w:r w:rsidRPr="00CC3507">
        <w:rPr>
          <w:rFonts w:ascii="Times New Roman" w:eastAsia="Times New Roman" w:hAnsi="Times New Roman" w:cs="Times New Roman"/>
          <w:bCs/>
          <w:sz w:val="24"/>
          <w:szCs w:val="24"/>
          <w:lang w:val="en-US"/>
        </w:rPr>
        <w:t>due to unified collateral pools.</w:t>
      </w:r>
    </w:p>
    <w:p w:rsidR="00BF056B" w:rsidRPr="00CC3507" w:rsidRDefault="00BF056B" w:rsidP="00BF056B">
      <w:pPr>
        <w:spacing w:after="120" w:line="240" w:lineRule="auto"/>
        <w:ind w:firstLine="567"/>
        <w:jc w:val="both"/>
        <w:rPr>
          <w:rFonts w:ascii="Times New Roman" w:eastAsia="Times New Roman" w:hAnsi="Times New Roman" w:cs="Times New Roman"/>
          <w:bCs/>
          <w:sz w:val="24"/>
          <w:szCs w:val="24"/>
          <w:lang w:val="en-US"/>
        </w:rPr>
      </w:pPr>
      <w:r w:rsidRPr="00E43538">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 xml:space="preserve">The unified collateral pool creation project </w:t>
      </w:r>
      <w:r w:rsidR="008E756A">
        <w:rPr>
          <w:rFonts w:ascii="Times New Roman" w:eastAsia="Times New Roman" w:hAnsi="Times New Roman" w:cs="Times New Roman"/>
          <w:bCs/>
          <w:sz w:val="24"/>
          <w:szCs w:val="24"/>
          <w:lang w:val="en-US"/>
        </w:rPr>
        <w:t>for using</w:t>
      </w:r>
      <w:r w:rsidR="00D55472">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 xml:space="preserve">a </w:t>
      </w:r>
      <w:r w:rsidR="00C677AE">
        <w:rPr>
          <w:rFonts w:ascii="Times New Roman" w:eastAsia="Times New Roman" w:hAnsi="Times New Roman" w:cs="Times New Roman"/>
          <w:bCs/>
          <w:sz w:val="24"/>
          <w:szCs w:val="24"/>
          <w:lang w:val="en-US"/>
        </w:rPr>
        <w:t>given</w:t>
      </w:r>
      <w:r>
        <w:rPr>
          <w:rFonts w:ascii="Times New Roman" w:eastAsia="Times New Roman" w:hAnsi="Times New Roman" w:cs="Times New Roman"/>
          <w:bCs/>
          <w:sz w:val="24"/>
          <w:szCs w:val="24"/>
          <w:lang w:val="en-US"/>
        </w:rPr>
        <w:t xml:space="preserve"> member`s collateral on  </w:t>
      </w:r>
      <w:r w:rsidR="00C677AE">
        <w:rPr>
          <w:rFonts w:ascii="Times New Roman" w:eastAsia="Times New Roman" w:hAnsi="Times New Roman" w:cs="Times New Roman"/>
          <w:bCs/>
          <w:sz w:val="24"/>
          <w:szCs w:val="24"/>
          <w:lang w:val="en-US"/>
        </w:rPr>
        <w:t>other</w:t>
      </w:r>
      <w:r>
        <w:rPr>
          <w:rFonts w:ascii="Times New Roman" w:eastAsia="Times New Roman" w:hAnsi="Times New Roman" w:cs="Times New Roman"/>
          <w:bCs/>
          <w:sz w:val="24"/>
          <w:szCs w:val="24"/>
          <w:lang w:val="en-US"/>
        </w:rPr>
        <w:t xml:space="preserve"> markets </w:t>
      </w:r>
      <w:r w:rsidR="00176553">
        <w:rPr>
          <w:rFonts w:ascii="Times New Roman" w:eastAsia="Times New Roman" w:hAnsi="Times New Roman" w:cs="Times New Roman"/>
          <w:bCs/>
          <w:sz w:val="24"/>
          <w:szCs w:val="24"/>
          <w:lang w:val="en-US"/>
        </w:rPr>
        <w:t>aimed at</w:t>
      </w:r>
      <w:r>
        <w:rPr>
          <w:rFonts w:ascii="Times New Roman" w:eastAsia="Times New Roman" w:hAnsi="Times New Roman" w:cs="Times New Roman"/>
          <w:bCs/>
          <w:sz w:val="24"/>
          <w:szCs w:val="24"/>
          <w:lang w:val="en-US"/>
        </w:rPr>
        <w:t xml:space="preserve"> </w:t>
      </w:r>
      <w:r w:rsidRPr="00CC3507">
        <w:rPr>
          <w:rFonts w:ascii="Times New Roman" w:eastAsia="Times New Roman" w:hAnsi="Times New Roman" w:cs="Times New Roman"/>
          <w:bCs/>
          <w:sz w:val="24"/>
          <w:szCs w:val="24"/>
          <w:lang w:val="en-US"/>
        </w:rPr>
        <w:t>increas</w:t>
      </w:r>
      <w:r w:rsidR="00176553">
        <w:rPr>
          <w:rFonts w:ascii="Times New Roman" w:eastAsia="Times New Roman" w:hAnsi="Times New Roman" w:cs="Times New Roman"/>
          <w:bCs/>
          <w:sz w:val="24"/>
          <w:szCs w:val="24"/>
          <w:lang w:val="en-US"/>
        </w:rPr>
        <w:t>ing</w:t>
      </w:r>
      <w:r w:rsidRPr="00CC3507">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 xml:space="preserve">the </w:t>
      </w:r>
      <w:r w:rsidRPr="00CC3507">
        <w:rPr>
          <w:rFonts w:ascii="Times New Roman" w:eastAsia="Times New Roman" w:hAnsi="Times New Roman" w:cs="Times New Roman"/>
          <w:bCs/>
          <w:sz w:val="24"/>
          <w:szCs w:val="24"/>
          <w:lang w:val="en-US"/>
        </w:rPr>
        <w:t>market members</w:t>
      </w:r>
      <w:r>
        <w:rPr>
          <w:rFonts w:ascii="Times New Roman" w:eastAsia="Times New Roman" w:hAnsi="Times New Roman" w:cs="Times New Roman"/>
          <w:bCs/>
          <w:sz w:val="24"/>
          <w:szCs w:val="24"/>
          <w:lang w:val="en-US"/>
        </w:rPr>
        <w:t>`</w:t>
      </w:r>
      <w:r w:rsidRPr="00CC3507">
        <w:rPr>
          <w:rFonts w:ascii="Times New Roman" w:eastAsia="Times New Roman" w:hAnsi="Times New Roman" w:cs="Times New Roman"/>
          <w:bCs/>
          <w:sz w:val="24"/>
          <w:szCs w:val="24"/>
          <w:lang w:val="en-US"/>
        </w:rPr>
        <w:t xml:space="preserve"> operational efficiency as it will make possible to transfer </w:t>
      </w:r>
      <w:r>
        <w:rPr>
          <w:rFonts w:ascii="Times New Roman" w:eastAsia="Times New Roman" w:hAnsi="Times New Roman" w:cs="Times New Roman"/>
          <w:bCs/>
          <w:sz w:val="24"/>
          <w:szCs w:val="24"/>
          <w:lang w:val="en-US"/>
        </w:rPr>
        <w:t xml:space="preserve"> the </w:t>
      </w:r>
      <w:r w:rsidRPr="00CC3507">
        <w:rPr>
          <w:rFonts w:ascii="Times New Roman" w:eastAsia="Times New Roman" w:hAnsi="Times New Roman" w:cs="Times New Roman"/>
          <w:bCs/>
          <w:sz w:val="24"/>
          <w:szCs w:val="24"/>
          <w:lang w:val="en-US"/>
        </w:rPr>
        <w:t xml:space="preserve">collateral without any restrictions from one market to another </w:t>
      </w:r>
      <w:r>
        <w:rPr>
          <w:rFonts w:ascii="Times New Roman" w:eastAsia="Times New Roman" w:hAnsi="Times New Roman" w:cs="Times New Roman"/>
          <w:bCs/>
          <w:sz w:val="24"/>
          <w:szCs w:val="24"/>
          <w:lang w:val="en-US"/>
        </w:rPr>
        <w:t xml:space="preserve">in order </w:t>
      </w:r>
      <w:r w:rsidRPr="00CC3507">
        <w:rPr>
          <w:rFonts w:ascii="Times New Roman" w:eastAsia="Times New Roman" w:hAnsi="Times New Roman" w:cs="Times New Roman"/>
          <w:bCs/>
          <w:sz w:val="24"/>
          <w:szCs w:val="24"/>
          <w:lang w:val="en-US"/>
        </w:rPr>
        <w:t xml:space="preserve">to fulfill </w:t>
      </w:r>
      <w:r>
        <w:rPr>
          <w:rFonts w:ascii="Times New Roman" w:eastAsia="Times New Roman" w:hAnsi="Times New Roman" w:cs="Times New Roman"/>
          <w:bCs/>
          <w:sz w:val="24"/>
          <w:szCs w:val="24"/>
          <w:lang w:val="en-US"/>
        </w:rPr>
        <w:t xml:space="preserve">the </w:t>
      </w:r>
      <w:r w:rsidRPr="00CC3507">
        <w:rPr>
          <w:rFonts w:ascii="Times New Roman" w:eastAsia="Times New Roman" w:hAnsi="Times New Roman" w:cs="Times New Roman"/>
          <w:bCs/>
          <w:sz w:val="24"/>
          <w:szCs w:val="24"/>
          <w:lang w:val="en-US"/>
        </w:rPr>
        <w:t>collateral requirements.</w:t>
      </w:r>
      <w:r>
        <w:rPr>
          <w:rFonts w:ascii="Times New Roman" w:eastAsia="Times New Roman" w:hAnsi="Times New Roman" w:cs="Times New Roman"/>
          <w:bCs/>
          <w:sz w:val="24"/>
          <w:szCs w:val="24"/>
          <w:lang w:val="en-US"/>
        </w:rPr>
        <w:t xml:space="preserve"> It will also enable to add a wider range of assets</w:t>
      </w:r>
      <w:r w:rsidR="008E756A">
        <w:rPr>
          <w:rFonts w:ascii="Times New Roman" w:eastAsia="Times New Roman" w:hAnsi="Times New Roman" w:cs="Times New Roman"/>
          <w:bCs/>
          <w:sz w:val="24"/>
          <w:szCs w:val="24"/>
          <w:lang w:val="en-US"/>
        </w:rPr>
        <w:t xml:space="preserve"> as collateral</w:t>
      </w:r>
      <w:r>
        <w:rPr>
          <w:rFonts w:ascii="Times New Roman" w:eastAsia="Times New Roman" w:hAnsi="Times New Roman" w:cs="Times New Roman"/>
          <w:bCs/>
          <w:sz w:val="24"/>
          <w:szCs w:val="24"/>
          <w:lang w:val="en-US"/>
        </w:rPr>
        <w:t xml:space="preserve"> in all market</w:t>
      </w:r>
      <w:r w:rsidR="008E756A">
        <w:rPr>
          <w:rFonts w:ascii="Times New Roman" w:eastAsia="Times New Roman" w:hAnsi="Times New Roman" w:cs="Times New Roman"/>
          <w:bCs/>
          <w:sz w:val="24"/>
          <w:szCs w:val="24"/>
          <w:lang w:val="en-US"/>
        </w:rPr>
        <w:t>s</w:t>
      </w:r>
      <w:r>
        <w:rPr>
          <w:rFonts w:ascii="Times New Roman" w:eastAsia="Times New Roman" w:hAnsi="Times New Roman" w:cs="Times New Roman"/>
          <w:bCs/>
          <w:sz w:val="24"/>
          <w:szCs w:val="24"/>
          <w:lang w:val="en-US"/>
        </w:rPr>
        <w:t>.</w:t>
      </w:r>
    </w:p>
    <w:p w:rsidR="00BF056B" w:rsidRPr="00CC3507" w:rsidRDefault="00BF056B" w:rsidP="00BF056B">
      <w:pPr>
        <w:spacing w:after="120" w:line="240" w:lineRule="auto"/>
        <w:ind w:firstLine="567"/>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Creation of unified collateral pool includes development and realization of unified concept of guarantee funds in all the markets of Moscow Exchange Group</w:t>
      </w:r>
      <w:r>
        <w:rPr>
          <w:rFonts w:ascii="Times New Roman" w:eastAsia="Times New Roman" w:hAnsi="Times New Roman" w:cs="Times New Roman"/>
          <w:bCs/>
          <w:sz w:val="24"/>
          <w:szCs w:val="24"/>
          <w:lang w:val="en-US"/>
        </w:rPr>
        <w:t xml:space="preserve">. </w:t>
      </w:r>
      <w:r w:rsidRPr="00CC3507">
        <w:rPr>
          <w:rFonts w:ascii="Times New Roman" w:eastAsia="Times New Roman" w:hAnsi="Times New Roman" w:cs="Times New Roman"/>
          <w:bCs/>
          <w:sz w:val="24"/>
          <w:szCs w:val="24"/>
          <w:lang w:val="en-US"/>
        </w:rPr>
        <w:t>At the moment each market has its own guarantee fund</w:t>
      </w:r>
      <w:r>
        <w:rPr>
          <w:rFonts w:ascii="Times New Roman" w:eastAsia="Times New Roman" w:hAnsi="Times New Roman" w:cs="Times New Roman"/>
          <w:bCs/>
          <w:sz w:val="24"/>
          <w:szCs w:val="24"/>
          <w:lang w:val="en-US"/>
        </w:rPr>
        <w:t xml:space="preserve"> concept </w:t>
      </w:r>
      <w:r w:rsidRPr="00CC3507">
        <w:rPr>
          <w:rFonts w:ascii="Times New Roman" w:eastAsia="Times New Roman" w:hAnsi="Times New Roman" w:cs="Times New Roman"/>
          <w:bCs/>
          <w:sz w:val="24"/>
          <w:szCs w:val="24"/>
          <w:lang w:val="en-US"/>
        </w:rPr>
        <w:t>with the respective mechanisms of losses allocation and operational procedures. A new guarantee funds</w:t>
      </w:r>
      <w:r>
        <w:rPr>
          <w:rFonts w:ascii="Times New Roman" w:eastAsia="Times New Roman" w:hAnsi="Times New Roman" w:cs="Times New Roman"/>
          <w:bCs/>
          <w:sz w:val="24"/>
          <w:szCs w:val="24"/>
          <w:lang w:val="en-US"/>
        </w:rPr>
        <w:t xml:space="preserve">` concept </w:t>
      </w:r>
      <w:r w:rsidRPr="00CC3507">
        <w:rPr>
          <w:rFonts w:ascii="Times New Roman" w:eastAsia="Times New Roman" w:hAnsi="Times New Roman" w:cs="Times New Roman"/>
          <w:bCs/>
          <w:sz w:val="24"/>
          <w:szCs w:val="24"/>
          <w:lang w:val="en-US"/>
        </w:rPr>
        <w:t xml:space="preserve">will be based on the scheme used in the best international practices, </w:t>
      </w:r>
      <w:r>
        <w:rPr>
          <w:rFonts w:ascii="Times New Roman" w:eastAsia="Times New Roman" w:hAnsi="Times New Roman" w:cs="Times New Roman"/>
          <w:bCs/>
          <w:sz w:val="24"/>
          <w:szCs w:val="24"/>
          <w:lang w:val="en-US"/>
        </w:rPr>
        <w:t xml:space="preserve">which </w:t>
      </w:r>
      <w:r w:rsidRPr="00CC3507">
        <w:rPr>
          <w:rFonts w:ascii="Times New Roman" w:eastAsia="Times New Roman" w:hAnsi="Times New Roman" w:cs="Times New Roman"/>
          <w:bCs/>
          <w:sz w:val="24"/>
          <w:szCs w:val="24"/>
          <w:lang w:val="en-US"/>
        </w:rPr>
        <w:t xml:space="preserve">allow taking into account </w:t>
      </w:r>
      <w:r>
        <w:rPr>
          <w:rFonts w:ascii="Times New Roman" w:eastAsia="Times New Roman" w:hAnsi="Times New Roman" w:cs="Times New Roman"/>
          <w:bCs/>
          <w:sz w:val="24"/>
          <w:szCs w:val="24"/>
          <w:lang w:val="en-US"/>
        </w:rPr>
        <w:t>market members` and Central Counterparty`s interests .</w:t>
      </w:r>
      <w:r w:rsidRPr="00CC3507">
        <w:rPr>
          <w:rFonts w:ascii="Times New Roman" w:eastAsia="Times New Roman" w:hAnsi="Times New Roman" w:cs="Times New Roman"/>
          <w:bCs/>
          <w:sz w:val="24"/>
          <w:szCs w:val="24"/>
          <w:lang w:val="en-US"/>
        </w:rPr>
        <w:t xml:space="preserve"> Its main features </w:t>
      </w:r>
      <w:r w:rsidRPr="00E43538">
        <w:rPr>
          <w:rFonts w:ascii="Times New Roman" w:eastAsia="Times New Roman" w:hAnsi="Times New Roman" w:cs="Times New Roman"/>
          <w:bCs/>
          <w:sz w:val="24"/>
          <w:szCs w:val="24"/>
          <w:lang w:val="en-US"/>
        </w:rPr>
        <w:t>include:</w:t>
      </w:r>
      <w:r w:rsidRPr="00CC3507">
        <w:rPr>
          <w:rFonts w:ascii="Times New Roman" w:eastAsia="Times New Roman" w:hAnsi="Times New Roman" w:cs="Times New Roman"/>
          <w:bCs/>
          <w:sz w:val="24"/>
          <w:szCs w:val="24"/>
          <w:lang w:val="en-US"/>
        </w:rPr>
        <w:t xml:space="preserve"> fund fees depending on </w:t>
      </w:r>
      <w:r>
        <w:rPr>
          <w:rFonts w:ascii="Times New Roman" w:eastAsia="Times New Roman" w:hAnsi="Times New Roman" w:cs="Times New Roman"/>
          <w:bCs/>
          <w:sz w:val="24"/>
          <w:szCs w:val="24"/>
          <w:lang w:val="en-US"/>
        </w:rPr>
        <w:t xml:space="preserve">the </w:t>
      </w:r>
      <w:r w:rsidRPr="00CC3507">
        <w:rPr>
          <w:rFonts w:ascii="Times New Roman" w:eastAsia="Times New Roman" w:hAnsi="Times New Roman" w:cs="Times New Roman"/>
          <w:bCs/>
          <w:sz w:val="24"/>
          <w:szCs w:val="24"/>
          <w:lang w:val="en-US"/>
        </w:rPr>
        <w:t>risk volume</w:t>
      </w:r>
      <w:r>
        <w:rPr>
          <w:rFonts w:ascii="Times New Roman" w:eastAsia="Times New Roman" w:hAnsi="Times New Roman" w:cs="Times New Roman"/>
          <w:bCs/>
          <w:sz w:val="24"/>
          <w:szCs w:val="24"/>
          <w:lang w:val="en-US"/>
        </w:rPr>
        <w:t xml:space="preserve"> </w:t>
      </w:r>
      <w:r w:rsidRPr="00CC3507">
        <w:rPr>
          <w:rFonts w:ascii="Times New Roman" w:eastAsia="Times New Roman" w:hAnsi="Times New Roman" w:cs="Times New Roman"/>
          <w:bCs/>
          <w:sz w:val="24"/>
          <w:szCs w:val="24"/>
          <w:lang w:val="en-US"/>
        </w:rPr>
        <w:t xml:space="preserve">of a </w:t>
      </w:r>
      <w:r w:rsidR="008E756A">
        <w:rPr>
          <w:rFonts w:ascii="Times New Roman" w:eastAsia="Times New Roman" w:hAnsi="Times New Roman" w:cs="Times New Roman"/>
          <w:bCs/>
          <w:sz w:val="24"/>
          <w:szCs w:val="24"/>
          <w:lang w:val="en-US"/>
        </w:rPr>
        <w:t>given</w:t>
      </w:r>
      <w:r w:rsidRPr="00CC3507">
        <w:rPr>
          <w:rFonts w:ascii="Times New Roman" w:eastAsia="Times New Roman" w:hAnsi="Times New Roman" w:cs="Times New Roman"/>
          <w:bCs/>
          <w:sz w:val="24"/>
          <w:szCs w:val="24"/>
          <w:lang w:val="en-US"/>
        </w:rPr>
        <w:t xml:space="preserve"> member, losses allocation</w:t>
      </w:r>
      <w:r>
        <w:rPr>
          <w:rFonts w:ascii="Times New Roman" w:eastAsia="Times New Roman" w:hAnsi="Times New Roman" w:cs="Times New Roman"/>
          <w:bCs/>
          <w:sz w:val="24"/>
          <w:szCs w:val="24"/>
          <w:lang w:val="en-US"/>
        </w:rPr>
        <w:t xml:space="preserve"> restrictions </w:t>
      </w:r>
      <w:r w:rsidRPr="00CC3507">
        <w:rPr>
          <w:rFonts w:ascii="Times New Roman" w:eastAsia="Times New Roman" w:hAnsi="Times New Roman" w:cs="Times New Roman"/>
          <w:bCs/>
          <w:sz w:val="24"/>
          <w:szCs w:val="24"/>
          <w:lang w:val="en-US"/>
        </w:rPr>
        <w:t xml:space="preserve">and </w:t>
      </w:r>
      <w:r>
        <w:rPr>
          <w:rFonts w:ascii="Times New Roman" w:eastAsia="Times New Roman" w:hAnsi="Times New Roman" w:cs="Times New Roman"/>
          <w:bCs/>
          <w:sz w:val="24"/>
          <w:szCs w:val="24"/>
          <w:lang w:val="en-US"/>
        </w:rPr>
        <w:t xml:space="preserve">the </w:t>
      </w:r>
      <w:r w:rsidRPr="00CC3507">
        <w:rPr>
          <w:rFonts w:ascii="Times New Roman" w:eastAsia="Times New Roman" w:hAnsi="Times New Roman" w:cs="Times New Roman"/>
          <w:bCs/>
          <w:sz w:val="24"/>
          <w:szCs w:val="24"/>
          <w:lang w:val="en-US"/>
        </w:rPr>
        <w:t>use of the stated CC</w:t>
      </w:r>
      <w:r w:rsidR="00D55472">
        <w:rPr>
          <w:rFonts w:ascii="Times New Roman" w:eastAsia="Times New Roman" w:hAnsi="Times New Roman" w:cs="Times New Roman"/>
          <w:bCs/>
          <w:sz w:val="24"/>
          <w:szCs w:val="24"/>
          <w:lang w:val="en-US"/>
        </w:rPr>
        <w:t>P</w:t>
      </w:r>
      <w:r w:rsidRPr="00CC3507">
        <w:rPr>
          <w:rFonts w:ascii="Times New Roman" w:eastAsia="Times New Roman" w:hAnsi="Times New Roman" w:cs="Times New Roman"/>
          <w:bCs/>
          <w:sz w:val="24"/>
          <w:szCs w:val="24"/>
          <w:lang w:val="en-US"/>
        </w:rPr>
        <w:t>’s capital</w:t>
      </w:r>
      <w:r>
        <w:rPr>
          <w:rFonts w:ascii="Times New Roman" w:eastAsia="Times New Roman" w:hAnsi="Times New Roman" w:cs="Times New Roman"/>
          <w:bCs/>
          <w:sz w:val="24"/>
          <w:szCs w:val="24"/>
          <w:lang w:val="en-US"/>
        </w:rPr>
        <w:t xml:space="preserve"> in order</w:t>
      </w:r>
      <w:r w:rsidRPr="00CC3507">
        <w:rPr>
          <w:rFonts w:ascii="Times New Roman" w:eastAsia="Times New Roman" w:hAnsi="Times New Roman" w:cs="Times New Roman"/>
          <w:bCs/>
          <w:sz w:val="24"/>
          <w:szCs w:val="24"/>
          <w:lang w:val="en-US"/>
        </w:rPr>
        <w:t xml:space="preserve"> </w:t>
      </w:r>
      <w:r w:rsidRPr="004221A5">
        <w:rPr>
          <w:rFonts w:ascii="Times New Roman" w:eastAsia="Times New Roman" w:hAnsi="Times New Roman" w:cs="Times New Roman"/>
          <w:bCs/>
          <w:sz w:val="24"/>
          <w:szCs w:val="24"/>
          <w:lang w:val="en-US"/>
        </w:rPr>
        <w:t>to cover</w:t>
      </w:r>
      <w:r w:rsidRPr="00CC3507">
        <w:rPr>
          <w:rFonts w:ascii="Times New Roman" w:eastAsia="Times New Roman" w:hAnsi="Times New Roman" w:cs="Times New Roman"/>
          <w:bCs/>
          <w:sz w:val="24"/>
          <w:szCs w:val="24"/>
          <w:lang w:val="en-US"/>
        </w:rPr>
        <w:t xml:space="preserve"> losses before </w:t>
      </w:r>
      <w:r w:rsidR="008E756A">
        <w:rPr>
          <w:rFonts w:ascii="Times New Roman" w:eastAsia="Times New Roman" w:hAnsi="Times New Roman" w:cs="Times New Roman"/>
          <w:bCs/>
          <w:sz w:val="24"/>
          <w:szCs w:val="24"/>
          <w:lang w:val="en-US"/>
        </w:rPr>
        <w:t>resorting</w:t>
      </w:r>
      <w:r w:rsidRPr="00CC3507">
        <w:rPr>
          <w:rFonts w:ascii="Times New Roman" w:eastAsia="Times New Roman" w:hAnsi="Times New Roman" w:cs="Times New Roman"/>
          <w:bCs/>
          <w:sz w:val="24"/>
          <w:szCs w:val="24"/>
          <w:lang w:val="en-US"/>
        </w:rPr>
        <w:t xml:space="preserve"> to collective funds. The integrated post trading risk management system will be able to unite all the necessary information on risks from all the markets in the </w:t>
      </w:r>
      <w:r w:rsidRPr="004221A5">
        <w:rPr>
          <w:rFonts w:ascii="Times New Roman" w:eastAsia="Times New Roman" w:hAnsi="Times New Roman" w:cs="Times New Roman"/>
          <w:bCs/>
          <w:sz w:val="24"/>
          <w:szCs w:val="24"/>
          <w:lang w:val="en-US"/>
        </w:rPr>
        <w:t>unified</w:t>
      </w:r>
      <w:r w:rsidRPr="00CC3507">
        <w:rPr>
          <w:rFonts w:ascii="Times New Roman" w:eastAsia="Times New Roman" w:hAnsi="Times New Roman" w:cs="Times New Roman"/>
          <w:bCs/>
          <w:sz w:val="24"/>
          <w:szCs w:val="24"/>
          <w:lang w:val="en-US"/>
        </w:rPr>
        <w:t xml:space="preserve"> system where different risk indicators will be considered and monitored with a minimum delay (intraday). It will </w:t>
      </w:r>
      <w:r>
        <w:rPr>
          <w:rFonts w:ascii="Times New Roman" w:eastAsia="Times New Roman" w:hAnsi="Times New Roman" w:cs="Times New Roman"/>
          <w:bCs/>
          <w:sz w:val="24"/>
          <w:szCs w:val="24"/>
          <w:lang w:val="en-US"/>
        </w:rPr>
        <w:t xml:space="preserve">be </w:t>
      </w:r>
      <w:r w:rsidRPr="00CC3507">
        <w:rPr>
          <w:rFonts w:ascii="Times New Roman" w:eastAsia="Times New Roman" w:hAnsi="Times New Roman" w:cs="Times New Roman"/>
          <w:bCs/>
          <w:sz w:val="24"/>
          <w:szCs w:val="24"/>
          <w:lang w:val="en-US"/>
        </w:rPr>
        <w:t xml:space="preserve">a basis for more dynamic </w:t>
      </w:r>
      <w:r w:rsidR="00F75DD0">
        <w:rPr>
          <w:rFonts w:ascii="Times New Roman" w:eastAsia="Times New Roman" w:hAnsi="Times New Roman" w:cs="Times New Roman"/>
          <w:bCs/>
          <w:sz w:val="24"/>
          <w:szCs w:val="24"/>
          <w:lang w:val="en-US"/>
        </w:rPr>
        <w:t xml:space="preserve">and </w:t>
      </w:r>
      <w:r w:rsidRPr="00CC3507">
        <w:rPr>
          <w:rFonts w:ascii="Times New Roman" w:eastAsia="Times New Roman" w:hAnsi="Times New Roman" w:cs="Times New Roman"/>
          <w:bCs/>
          <w:sz w:val="24"/>
          <w:szCs w:val="24"/>
          <w:lang w:val="en-US"/>
        </w:rPr>
        <w:t>active risk management in Moscow Exchange.</w:t>
      </w:r>
    </w:p>
    <w:p w:rsidR="00BF056B" w:rsidRPr="00CC3507" w:rsidRDefault="00BF056B" w:rsidP="00BF056B">
      <w:pPr>
        <w:spacing w:after="120" w:line="240" w:lineRule="auto"/>
        <w:ind w:firstLine="567"/>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 xml:space="preserve">Therefore EIF project plays an important role which will provide </w:t>
      </w:r>
      <w:r>
        <w:rPr>
          <w:rFonts w:ascii="Times New Roman" w:eastAsia="Times New Roman" w:hAnsi="Times New Roman" w:cs="Times New Roman"/>
          <w:bCs/>
          <w:sz w:val="24"/>
          <w:szCs w:val="24"/>
          <w:lang w:val="en-US"/>
        </w:rPr>
        <w:t xml:space="preserve">a </w:t>
      </w:r>
      <w:r w:rsidRPr="00CC3507">
        <w:rPr>
          <w:rFonts w:ascii="Times New Roman" w:eastAsia="Times New Roman" w:hAnsi="Times New Roman" w:cs="Times New Roman"/>
          <w:bCs/>
          <w:sz w:val="24"/>
          <w:szCs w:val="24"/>
          <w:lang w:val="en-US"/>
        </w:rPr>
        <w:t xml:space="preserve">unified access </w:t>
      </w:r>
      <w:proofErr w:type="gramStart"/>
      <w:r w:rsidRPr="00CC3507">
        <w:rPr>
          <w:rFonts w:ascii="Times New Roman" w:eastAsia="Times New Roman" w:hAnsi="Times New Roman" w:cs="Times New Roman"/>
          <w:bCs/>
          <w:sz w:val="24"/>
          <w:szCs w:val="24"/>
          <w:lang w:val="en-US"/>
        </w:rPr>
        <w:t>to  risk</w:t>
      </w:r>
      <w:proofErr w:type="gramEnd"/>
      <w:r>
        <w:rPr>
          <w:rFonts w:ascii="Times New Roman" w:eastAsia="Times New Roman" w:hAnsi="Times New Roman" w:cs="Times New Roman"/>
          <w:bCs/>
          <w:sz w:val="24"/>
          <w:szCs w:val="24"/>
          <w:lang w:val="en-US"/>
        </w:rPr>
        <w:t>`s data</w:t>
      </w:r>
      <w:r w:rsidRPr="00CC3507">
        <w:rPr>
          <w:rFonts w:ascii="Times New Roman" w:eastAsia="Times New Roman" w:hAnsi="Times New Roman" w:cs="Times New Roman"/>
          <w:bCs/>
          <w:sz w:val="24"/>
          <w:szCs w:val="24"/>
          <w:lang w:val="en-US"/>
        </w:rPr>
        <w:t>, collateral and positions in current trading/clearing systems.</w:t>
      </w:r>
    </w:p>
    <w:p w:rsidR="00BF056B" w:rsidRPr="00CC3507" w:rsidRDefault="00BF056B" w:rsidP="00BF056B">
      <w:pPr>
        <w:spacing w:after="120" w:line="240" w:lineRule="auto"/>
        <w:ind w:firstLine="567"/>
        <w:jc w:val="both"/>
        <w:rPr>
          <w:rFonts w:ascii="Times New Roman" w:eastAsia="Times New Roman" w:hAnsi="Times New Roman" w:cs="Times New Roman"/>
          <w:bCs/>
          <w:sz w:val="24"/>
          <w:szCs w:val="24"/>
          <w:lang w:val="en-US"/>
        </w:rPr>
      </w:pPr>
    </w:p>
    <w:p w:rsidR="00BF056B" w:rsidRPr="00CC3507" w:rsidRDefault="00BF056B" w:rsidP="00BF056B">
      <w:pPr>
        <w:spacing w:before="100" w:after="120" w:line="240" w:lineRule="auto"/>
        <w:jc w:val="center"/>
        <w:rPr>
          <w:rFonts w:ascii="Times New Roman" w:eastAsia="Times New Roman" w:hAnsi="Times New Roman" w:cs="Times New Roman"/>
          <w:b/>
          <w:bCs/>
          <w:sz w:val="24"/>
          <w:szCs w:val="24"/>
          <w:lang w:val="en-US"/>
        </w:rPr>
      </w:pPr>
      <w:r w:rsidRPr="00CC3507">
        <w:rPr>
          <w:rFonts w:ascii="Times New Roman" w:eastAsia="Times New Roman" w:hAnsi="Times New Roman" w:cs="Times New Roman"/>
          <w:b/>
          <w:bCs/>
          <w:sz w:val="24"/>
          <w:szCs w:val="24"/>
          <w:lang w:val="en-US"/>
        </w:rPr>
        <w:t xml:space="preserve">2. Transfer of the </w:t>
      </w:r>
      <w:r>
        <w:rPr>
          <w:rFonts w:ascii="Times New Roman" w:eastAsia="Times New Roman" w:hAnsi="Times New Roman" w:cs="Times New Roman"/>
          <w:b/>
          <w:bCs/>
          <w:sz w:val="24"/>
          <w:szCs w:val="24"/>
          <w:lang w:val="en-US"/>
        </w:rPr>
        <w:t xml:space="preserve">client`s </w:t>
      </w:r>
      <w:r w:rsidRPr="00CC3507">
        <w:rPr>
          <w:rFonts w:ascii="Times New Roman" w:eastAsia="Times New Roman" w:hAnsi="Times New Roman" w:cs="Times New Roman"/>
          <w:b/>
          <w:bCs/>
          <w:sz w:val="24"/>
          <w:szCs w:val="24"/>
          <w:lang w:val="en-US"/>
        </w:rPr>
        <w:t xml:space="preserve">obligations </w:t>
      </w:r>
      <w:proofErr w:type="gramStart"/>
      <w:r w:rsidRPr="00CC3507">
        <w:rPr>
          <w:rFonts w:ascii="Times New Roman" w:eastAsia="Times New Roman" w:hAnsi="Times New Roman" w:cs="Times New Roman"/>
          <w:b/>
          <w:bCs/>
          <w:sz w:val="24"/>
          <w:szCs w:val="24"/>
          <w:lang w:val="en-US"/>
        </w:rPr>
        <w:t>and  collateral</w:t>
      </w:r>
      <w:proofErr w:type="gramEnd"/>
      <w:r w:rsidRPr="00CC3507">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from one clearing member to another </w:t>
      </w:r>
      <w:r w:rsidRPr="00CC3507">
        <w:rPr>
          <w:rFonts w:ascii="Times New Roman" w:eastAsia="Times New Roman" w:hAnsi="Times New Roman" w:cs="Times New Roman"/>
          <w:b/>
          <w:bCs/>
          <w:sz w:val="24"/>
          <w:szCs w:val="24"/>
          <w:lang w:val="en-US"/>
        </w:rPr>
        <w:t xml:space="preserve">(segregation and </w:t>
      </w:r>
      <w:r>
        <w:rPr>
          <w:rFonts w:ascii="Times New Roman" w:eastAsia="Times New Roman" w:hAnsi="Times New Roman" w:cs="Times New Roman"/>
          <w:b/>
          <w:bCs/>
          <w:sz w:val="24"/>
          <w:szCs w:val="24"/>
          <w:lang w:val="en-US"/>
        </w:rPr>
        <w:t xml:space="preserve"> portability</w:t>
      </w:r>
      <w:r w:rsidRPr="00CC3507">
        <w:rPr>
          <w:rFonts w:ascii="Times New Roman" w:eastAsia="Times New Roman" w:hAnsi="Times New Roman" w:cs="Times New Roman"/>
          <w:b/>
          <w:bCs/>
          <w:sz w:val="24"/>
          <w:szCs w:val="24"/>
          <w:lang w:val="en-US"/>
        </w:rPr>
        <w:t>)</w:t>
      </w:r>
    </w:p>
    <w:p w:rsidR="00BF056B" w:rsidRPr="00CC3507" w:rsidRDefault="00BF056B" w:rsidP="00BF056B">
      <w:pPr>
        <w:spacing w:after="120" w:line="240" w:lineRule="auto"/>
        <w:ind w:firstLine="567"/>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 xml:space="preserve">Segregation means an opportunity to divide positions and collateral </w:t>
      </w:r>
      <w:r w:rsidRPr="002B08E0">
        <w:rPr>
          <w:rFonts w:ascii="Times New Roman" w:eastAsia="Times New Roman" w:hAnsi="Times New Roman" w:cs="Times New Roman"/>
          <w:bCs/>
          <w:sz w:val="24"/>
          <w:szCs w:val="24"/>
          <w:lang w:val="en-US"/>
        </w:rPr>
        <w:t>at</w:t>
      </w:r>
      <w:r w:rsidRPr="00CC3507">
        <w:rPr>
          <w:rFonts w:ascii="Times New Roman" w:eastAsia="Times New Roman" w:hAnsi="Times New Roman" w:cs="Times New Roman"/>
          <w:bCs/>
          <w:sz w:val="24"/>
          <w:szCs w:val="24"/>
          <w:lang w:val="en-US"/>
        </w:rPr>
        <w:t xml:space="preserve"> the client’s level. Such practice </w:t>
      </w:r>
      <w:r w:rsidR="00EB2DD3">
        <w:rPr>
          <w:rFonts w:ascii="Times New Roman" w:eastAsia="Times New Roman" w:hAnsi="Times New Roman" w:cs="Times New Roman"/>
          <w:bCs/>
          <w:sz w:val="24"/>
          <w:szCs w:val="24"/>
          <w:lang w:val="en-US"/>
        </w:rPr>
        <w:t xml:space="preserve">complies with </w:t>
      </w:r>
      <w:r w:rsidRPr="00CC3507">
        <w:rPr>
          <w:rFonts w:ascii="Times New Roman" w:eastAsia="Times New Roman" w:hAnsi="Times New Roman" w:cs="Times New Roman"/>
          <w:bCs/>
          <w:sz w:val="24"/>
          <w:szCs w:val="24"/>
          <w:lang w:val="en-US"/>
        </w:rPr>
        <w:t>the international standards (EMIR, CPSS-IOSCO) and ensures more reliable protection of clients’ funds and positions in case of a clearing memb</w:t>
      </w:r>
      <w:r w:rsidRPr="002B08E0">
        <w:rPr>
          <w:rFonts w:ascii="Times New Roman" w:eastAsia="Times New Roman" w:hAnsi="Times New Roman" w:cs="Times New Roman"/>
          <w:bCs/>
          <w:sz w:val="24"/>
          <w:szCs w:val="24"/>
          <w:lang w:val="en-US"/>
        </w:rPr>
        <w:t>er</w:t>
      </w:r>
      <w:r>
        <w:rPr>
          <w:rFonts w:ascii="Times New Roman" w:eastAsia="Times New Roman" w:hAnsi="Times New Roman" w:cs="Times New Roman"/>
          <w:bCs/>
          <w:sz w:val="24"/>
          <w:szCs w:val="24"/>
          <w:lang w:val="en-US"/>
        </w:rPr>
        <w:t xml:space="preserve">`s </w:t>
      </w:r>
      <w:r w:rsidRPr="00CC3507">
        <w:rPr>
          <w:rFonts w:ascii="Times New Roman" w:eastAsia="Times New Roman" w:hAnsi="Times New Roman" w:cs="Times New Roman"/>
          <w:bCs/>
          <w:sz w:val="24"/>
          <w:szCs w:val="24"/>
          <w:lang w:val="en-US"/>
        </w:rPr>
        <w:t xml:space="preserve">default. In case of default segregation also allows </w:t>
      </w:r>
      <w:r>
        <w:rPr>
          <w:rFonts w:ascii="Times New Roman" w:eastAsia="Times New Roman" w:hAnsi="Times New Roman" w:cs="Times New Roman"/>
          <w:bCs/>
          <w:sz w:val="24"/>
          <w:szCs w:val="24"/>
          <w:lang w:val="en-US"/>
        </w:rPr>
        <w:t xml:space="preserve">to </w:t>
      </w:r>
      <w:r w:rsidRPr="00CC3507">
        <w:rPr>
          <w:rFonts w:ascii="Times New Roman" w:eastAsia="Times New Roman" w:hAnsi="Times New Roman" w:cs="Times New Roman"/>
          <w:bCs/>
          <w:sz w:val="24"/>
          <w:szCs w:val="24"/>
          <w:lang w:val="en-US"/>
        </w:rPr>
        <w:t xml:space="preserve">transfer </w:t>
      </w:r>
      <w:r>
        <w:rPr>
          <w:rFonts w:ascii="Times New Roman" w:eastAsia="Times New Roman" w:hAnsi="Times New Roman" w:cs="Times New Roman"/>
          <w:bCs/>
          <w:sz w:val="24"/>
          <w:szCs w:val="24"/>
          <w:lang w:val="en-US"/>
        </w:rPr>
        <w:t xml:space="preserve">the client`s </w:t>
      </w:r>
      <w:r w:rsidRPr="00CC3507">
        <w:rPr>
          <w:rFonts w:ascii="Times New Roman" w:eastAsia="Times New Roman" w:hAnsi="Times New Roman" w:cs="Times New Roman"/>
          <w:bCs/>
          <w:sz w:val="24"/>
          <w:szCs w:val="24"/>
          <w:lang w:val="en-US"/>
        </w:rPr>
        <w:t xml:space="preserve">funds and positions </w:t>
      </w:r>
      <w:r>
        <w:rPr>
          <w:rFonts w:ascii="Times New Roman" w:eastAsia="Times New Roman" w:hAnsi="Times New Roman" w:cs="Times New Roman"/>
          <w:bCs/>
          <w:sz w:val="24"/>
          <w:szCs w:val="24"/>
          <w:lang w:val="en-US"/>
        </w:rPr>
        <w:t xml:space="preserve">from one clearing member </w:t>
      </w:r>
      <w:r w:rsidRPr="00CC3507">
        <w:rPr>
          <w:rFonts w:ascii="Times New Roman" w:eastAsia="Times New Roman" w:hAnsi="Times New Roman" w:cs="Times New Roman"/>
          <w:bCs/>
          <w:sz w:val="24"/>
          <w:szCs w:val="24"/>
          <w:lang w:val="en-US"/>
        </w:rPr>
        <w:t xml:space="preserve">to another without closing </w:t>
      </w:r>
      <w:proofErr w:type="gramStart"/>
      <w:r w:rsidRPr="002B08E0">
        <w:rPr>
          <w:rFonts w:ascii="Times New Roman" w:eastAsia="Times New Roman" w:hAnsi="Times New Roman" w:cs="Times New Roman"/>
          <w:bCs/>
          <w:sz w:val="24"/>
          <w:szCs w:val="24"/>
          <w:lang w:val="en-US"/>
        </w:rPr>
        <w:t>positions</w:t>
      </w:r>
      <w:r w:rsidRPr="00CC3507">
        <w:rPr>
          <w:rFonts w:ascii="Times New Roman" w:eastAsia="Times New Roman" w:hAnsi="Times New Roman" w:cs="Times New Roman"/>
          <w:bCs/>
          <w:sz w:val="24"/>
          <w:szCs w:val="24"/>
          <w:lang w:val="en-US"/>
        </w:rPr>
        <w:t>(</w:t>
      </w:r>
      <w:proofErr w:type="gramEnd"/>
      <w:r w:rsidRPr="002B08E0">
        <w:rPr>
          <w:rFonts w:ascii="Times New Roman" w:eastAsia="Times New Roman" w:hAnsi="Times New Roman" w:cs="Times New Roman"/>
          <w:bCs/>
          <w:sz w:val="24"/>
          <w:szCs w:val="24"/>
          <w:lang w:val="en-US"/>
        </w:rPr>
        <w:t>portability</w:t>
      </w:r>
      <w:r w:rsidRPr="00CC3507">
        <w:rPr>
          <w:rFonts w:ascii="Times New Roman" w:eastAsia="Times New Roman" w:hAnsi="Times New Roman" w:cs="Times New Roman"/>
          <w:bCs/>
          <w:sz w:val="24"/>
          <w:szCs w:val="24"/>
          <w:lang w:val="en-US"/>
        </w:rPr>
        <w:t xml:space="preserve">). Segregation and </w:t>
      </w:r>
      <w:r w:rsidRPr="002B08E0">
        <w:rPr>
          <w:rFonts w:ascii="Times New Roman" w:eastAsia="Times New Roman" w:hAnsi="Times New Roman" w:cs="Times New Roman"/>
          <w:bCs/>
          <w:sz w:val="24"/>
          <w:szCs w:val="24"/>
          <w:lang w:val="en-US"/>
        </w:rPr>
        <w:t>portability</w:t>
      </w:r>
      <w:r>
        <w:rPr>
          <w:rFonts w:ascii="Times New Roman" w:eastAsia="Times New Roman" w:hAnsi="Times New Roman" w:cs="Times New Roman"/>
          <w:bCs/>
          <w:sz w:val="24"/>
          <w:szCs w:val="24"/>
          <w:lang w:val="en-US"/>
        </w:rPr>
        <w:t xml:space="preserve"> </w:t>
      </w:r>
      <w:r w:rsidRPr="00CC3507">
        <w:rPr>
          <w:rFonts w:ascii="Times New Roman" w:eastAsia="Times New Roman" w:hAnsi="Times New Roman" w:cs="Times New Roman"/>
          <w:bCs/>
          <w:sz w:val="24"/>
          <w:szCs w:val="24"/>
          <w:lang w:val="en-US"/>
        </w:rPr>
        <w:t>shall be accompanied with possibility to integrate account</w:t>
      </w:r>
      <w:r w:rsidRPr="00D1017F">
        <w:rPr>
          <w:rFonts w:ascii="Times New Roman" w:eastAsia="Times New Roman" w:hAnsi="Times New Roman" w:cs="Times New Roman"/>
          <w:bCs/>
          <w:sz w:val="24"/>
          <w:szCs w:val="24"/>
          <w:lang w:val="en-US"/>
        </w:rPr>
        <w:t>s</w:t>
      </w:r>
      <w:r>
        <w:rPr>
          <w:rFonts w:ascii="Times New Roman" w:eastAsia="Times New Roman" w:hAnsi="Times New Roman" w:cs="Times New Roman"/>
          <w:bCs/>
          <w:sz w:val="24"/>
          <w:szCs w:val="24"/>
          <w:lang w:val="en-US"/>
        </w:rPr>
        <w:t xml:space="preserve"> </w:t>
      </w:r>
      <w:r w:rsidRPr="00CC3507">
        <w:rPr>
          <w:rFonts w:ascii="Times New Roman" w:eastAsia="Times New Roman" w:hAnsi="Times New Roman" w:cs="Times New Roman"/>
          <w:bCs/>
          <w:sz w:val="24"/>
          <w:szCs w:val="24"/>
          <w:lang w:val="en-US"/>
        </w:rPr>
        <w:t>and with cross-default procedures</w:t>
      </w:r>
      <w:r w:rsidR="00480137">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in order to</w:t>
      </w:r>
      <w:r w:rsidRPr="00CC3507">
        <w:rPr>
          <w:rFonts w:ascii="Times New Roman" w:eastAsia="Times New Roman" w:hAnsi="Times New Roman" w:cs="Times New Roman"/>
          <w:bCs/>
          <w:sz w:val="24"/>
          <w:szCs w:val="24"/>
          <w:lang w:val="en-US"/>
        </w:rPr>
        <w:t xml:space="preserve"> provide NCC with greater operational efficiency and more effective risk management. Thus in case </w:t>
      </w:r>
      <w:r w:rsidR="00480137">
        <w:rPr>
          <w:rFonts w:ascii="Times New Roman" w:eastAsia="Times New Roman" w:hAnsi="Times New Roman" w:cs="Times New Roman"/>
          <w:bCs/>
          <w:sz w:val="24"/>
          <w:szCs w:val="24"/>
          <w:lang w:val="en-US"/>
        </w:rPr>
        <w:t>the debt</w:t>
      </w:r>
      <w:r>
        <w:rPr>
          <w:rFonts w:ascii="Times New Roman" w:eastAsia="Times New Roman" w:hAnsi="Times New Roman" w:cs="Times New Roman"/>
          <w:bCs/>
          <w:sz w:val="24"/>
          <w:szCs w:val="24"/>
          <w:lang w:val="en-US"/>
        </w:rPr>
        <w:t xml:space="preserve"> of NCC` clearing member </w:t>
      </w:r>
      <w:r w:rsidR="00480137">
        <w:rPr>
          <w:rFonts w:ascii="Times New Roman" w:eastAsia="Times New Roman" w:hAnsi="Times New Roman" w:cs="Times New Roman"/>
          <w:bCs/>
          <w:sz w:val="24"/>
          <w:szCs w:val="24"/>
          <w:lang w:val="en-US"/>
        </w:rPr>
        <w:t>occurs</w:t>
      </w:r>
      <w:r>
        <w:rPr>
          <w:rFonts w:ascii="Times New Roman" w:eastAsia="Times New Roman" w:hAnsi="Times New Roman" w:cs="Times New Roman"/>
          <w:bCs/>
          <w:sz w:val="24"/>
          <w:szCs w:val="24"/>
          <w:lang w:val="en-US"/>
        </w:rPr>
        <w:t xml:space="preserve"> in one market</w:t>
      </w:r>
      <w:r w:rsidRPr="00CC3507">
        <w:rPr>
          <w:rFonts w:ascii="Times New Roman" w:eastAsia="Times New Roman" w:hAnsi="Times New Roman" w:cs="Times New Roman"/>
          <w:bCs/>
          <w:sz w:val="24"/>
          <w:szCs w:val="24"/>
          <w:lang w:val="en-US"/>
        </w:rPr>
        <w:t>, NCC will have an opportunity to use collateral of such a client in other markets.</w:t>
      </w:r>
    </w:p>
    <w:p w:rsidR="00BF056B" w:rsidRPr="00CC3507" w:rsidRDefault="00BF056B" w:rsidP="00BF056B">
      <w:pPr>
        <w:spacing w:after="120" w:line="240" w:lineRule="auto"/>
        <w:ind w:firstLine="567"/>
        <w:jc w:val="both"/>
        <w:rPr>
          <w:rFonts w:ascii="Times New Roman" w:eastAsia="Times New Roman" w:hAnsi="Times New Roman" w:cs="Times New Roman"/>
          <w:bCs/>
          <w:sz w:val="24"/>
          <w:szCs w:val="24"/>
          <w:lang w:val="en-US"/>
        </w:rPr>
      </w:pPr>
    </w:p>
    <w:p w:rsidR="00BF056B" w:rsidRPr="00CC3507" w:rsidRDefault="00BF056B" w:rsidP="00BF056B">
      <w:pPr>
        <w:spacing w:before="100" w:after="120" w:line="240" w:lineRule="auto"/>
        <w:jc w:val="center"/>
        <w:rPr>
          <w:rFonts w:ascii="Times New Roman" w:eastAsia="Times New Roman" w:hAnsi="Times New Roman" w:cs="Times New Roman"/>
          <w:b/>
          <w:bCs/>
          <w:sz w:val="24"/>
          <w:szCs w:val="24"/>
          <w:lang w:val="en-US"/>
        </w:rPr>
      </w:pPr>
      <w:r w:rsidRPr="00CC3507">
        <w:rPr>
          <w:rFonts w:ascii="Times New Roman" w:eastAsia="Times New Roman" w:hAnsi="Times New Roman" w:cs="Times New Roman"/>
          <w:b/>
          <w:bCs/>
          <w:sz w:val="24"/>
          <w:szCs w:val="24"/>
          <w:lang w:val="en-US"/>
        </w:rPr>
        <w:t xml:space="preserve">3. Development of the membership system </w:t>
      </w:r>
      <w:r w:rsidRPr="00D1017F">
        <w:rPr>
          <w:rFonts w:ascii="Times New Roman" w:eastAsia="Times New Roman" w:hAnsi="Times New Roman" w:cs="Times New Roman"/>
          <w:b/>
          <w:bCs/>
          <w:sz w:val="24"/>
          <w:szCs w:val="24"/>
          <w:lang w:val="en-US"/>
        </w:rPr>
        <w:t>in clearing</w:t>
      </w:r>
    </w:p>
    <w:p w:rsidR="00BF056B" w:rsidRPr="00CC3507" w:rsidRDefault="00BF056B" w:rsidP="00BF056B">
      <w:pPr>
        <w:spacing w:after="120" w:line="240" w:lineRule="auto"/>
        <w:ind w:firstLine="567"/>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The project stipulates the following:</w:t>
      </w:r>
    </w:p>
    <w:p w:rsidR="00BF056B" w:rsidRPr="00CC3507" w:rsidRDefault="008D732A" w:rsidP="00BF056B">
      <w:pPr>
        <w:numPr>
          <w:ilvl w:val="0"/>
          <w:numId w:val="13"/>
        </w:numPr>
        <w:spacing w:after="120" w:line="240" w:lineRule="auto"/>
        <w:ind w:hanging="437"/>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T</w:t>
      </w:r>
      <w:r w:rsidR="00BF056B">
        <w:rPr>
          <w:rFonts w:ascii="Times New Roman" w:eastAsia="Times New Roman" w:hAnsi="Times New Roman" w:cs="Times New Roman"/>
          <w:bCs/>
          <w:sz w:val="24"/>
          <w:szCs w:val="24"/>
          <w:lang w:val="en-US"/>
        </w:rPr>
        <w:t xml:space="preserve">rading and clearing </w:t>
      </w:r>
      <w:proofErr w:type="gramStart"/>
      <w:r w:rsidR="00BF056B">
        <w:rPr>
          <w:rFonts w:ascii="Times New Roman" w:eastAsia="Times New Roman" w:hAnsi="Times New Roman" w:cs="Times New Roman"/>
          <w:bCs/>
          <w:sz w:val="24"/>
          <w:szCs w:val="24"/>
          <w:lang w:val="en-US"/>
        </w:rPr>
        <w:t>members</w:t>
      </w:r>
      <w:proofErr w:type="gramEnd"/>
      <w:r w:rsidR="00BF056B">
        <w:rPr>
          <w:rFonts w:ascii="Times New Roman" w:eastAsia="Times New Roman" w:hAnsi="Times New Roman" w:cs="Times New Roman"/>
          <w:bCs/>
          <w:sz w:val="24"/>
          <w:szCs w:val="24"/>
          <w:lang w:val="en-US"/>
        </w:rPr>
        <w:t xml:space="preserve"> statuses` division </w:t>
      </w:r>
      <w:r w:rsidR="00BF056B" w:rsidRPr="007D46CA">
        <w:rPr>
          <w:rFonts w:ascii="Times New Roman" w:eastAsia="Times New Roman" w:hAnsi="Times New Roman" w:cs="Times New Roman"/>
          <w:bCs/>
          <w:sz w:val="24"/>
          <w:szCs w:val="24"/>
          <w:lang w:val="en-US"/>
        </w:rPr>
        <w:t>in</w:t>
      </w:r>
      <w:r w:rsidR="00BF056B" w:rsidRPr="00CC3507">
        <w:rPr>
          <w:rFonts w:ascii="Times New Roman" w:eastAsia="Times New Roman" w:hAnsi="Times New Roman" w:cs="Times New Roman"/>
          <w:bCs/>
          <w:sz w:val="24"/>
          <w:szCs w:val="24"/>
          <w:lang w:val="en-US"/>
        </w:rPr>
        <w:t xml:space="preserve"> the exchange market and in the precious metals </w:t>
      </w:r>
      <w:r w:rsidR="00BF056B">
        <w:rPr>
          <w:rFonts w:ascii="Times New Roman" w:eastAsia="Times New Roman" w:hAnsi="Times New Roman" w:cs="Times New Roman"/>
          <w:bCs/>
          <w:sz w:val="24"/>
          <w:szCs w:val="24"/>
          <w:lang w:val="en-US"/>
        </w:rPr>
        <w:t xml:space="preserve">market </w:t>
      </w:r>
      <w:r w:rsidR="00BF056B" w:rsidRPr="00CC3507">
        <w:rPr>
          <w:rFonts w:ascii="Times New Roman" w:eastAsia="Times New Roman" w:hAnsi="Times New Roman" w:cs="Times New Roman"/>
          <w:bCs/>
          <w:sz w:val="24"/>
          <w:szCs w:val="24"/>
          <w:lang w:val="en-US"/>
        </w:rPr>
        <w:t>as well as in the securities market.</w:t>
      </w:r>
    </w:p>
    <w:p w:rsidR="00BF056B" w:rsidRPr="00CC3507" w:rsidRDefault="00BF056B" w:rsidP="00BF056B">
      <w:pPr>
        <w:numPr>
          <w:ilvl w:val="0"/>
          <w:numId w:val="13"/>
        </w:numPr>
        <w:spacing w:after="120" w:line="240" w:lineRule="auto"/>
        <w:ind w:hanging="437"/>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Development of the clearing brokers institution.</w:t>
      </w:r>
    </w:p>
    <w:p w:rsidR="00BF056B" w:rsidRPr="00CC3507" w:rsidRDefault="00BF056B" w:rsidP="00BF056B">
      <w:pPr>
        <w:numPr>
          <w:ilvl w:val="0"/>
          <w:numId w:val="13"/>
        </w:numPr>
        <w:spacing w:after="120" w:line="240" w:lineRule="auto"/>
        <w:ind w:hanging="437"/>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Development of</w:t>
      </w:r>
      <w:r w:rsidR="008D732A" w:rsidRPr="00D55472">
        <w:rPr>
          <w:rFonts w:ascii="Times New Roman" w:eastAsia="Times New Roman" w:hAnsi="Times New Roman" w:cs="Times New Roman"/>
          <w:bCs/>
          <w:sz w:val="24"/>
          <w:szCs w:val="24"/>
          <w:lang w:val="en-US"/>
        </w:rPr>
        <w:t xml:space="preserve"> </w:t>
      </w:r>
      <w:r w:rsidR="008D732A">
        <w:rPr>
          <w:rFonts w:ascii="Times New Roman" w:eastAsia="Times New Roman" w:hAnsi="Times New Roman" w:cs="Times New Roman"/>
          <w:bCs/>
          <w:sz w:val="24"/>
          <w:szCs w:val="24"/>
          <w:lang w:val="en-US"/>
        </w:rPr>
        <w:t>single</w:t>
      </w:r>
      <w:r w:rsidR="00D55472">
        <w:rPr>
          <w:rFonts w:ascii="Times New Roman" w:eastAsia="Times New Roman" w:hAnsi="Times New Roman" w:cs="Times New Roman"/>
          <w:bCs/>
          <w:sz w:val="24"/>
          <w:szCs w:val="24"/>
          <w:lang w:val="en-US"/>
        </w:rPr>
        <w:t xml:space="preserve"> </w:t>
      </w:r>
      <w:r w:rsidRPr="00CC3507">
        <w:rPr>
          <w:rFonts w:ascii="Times New Roman" w:eastAsia="Times New Roman" w:hAnsi="Times New Roman" w:cs="Times New Roman"/>
          <w:bCs/>
          <w:sz w:val="24"/>
          <w:szCs w:val="24"/>
          <w:lang w:val="en-US"/>
        </w:rPr>
        <w:t>m</w:t>
      </w:r>
      <w:r w:rsidR="008D732A">
        <w:rPr>
          <w:rFonts w:ascii="Times New Roman" w:eastAsia="Times New Roman" w:hAnsi="Times New Roman" w:cs="Times New Roman"/>
          <w:bCs/>
          <w:sz w:val="24"/>
          <w:szCs w:val="24"/>
          <w:lang w:val="en-US"/>
        </w:rPr>
        <w:t>e</w:t>
      </w:r>
      <w:r w:rsidRPr="00CC3507">
        <w:rPr>
          <w:rFonts w:ascii="Times New Roman" w:eastAsia="Times New Roman" w:hAnsi="Times New Roman" w:cs="Times New Roman"/>
          <w:bCs/>
          <w:sz w:val="24"/>
          <w:szCs w:val="24"/>
          <w:lang w:val="en-US"/>
        </w:rPr>
        <w:t>mbership system (participation) in clearing in different markets of the Group.</w:t>
      </w:r>
      <w:r w:rsidR="008D732A">
        <w:rPr>
          <w:rFonts w:ascii="Times New Roman" w:eastAsia="Times New Roman" w:hAnsi="Times New Roman" w:cs="Times New Roman"/>
          <w:bCs/>
          <w:sz w:val="24"/>
          <w:szCs w:val="24"/>
          <w:lang w:val="en-US"/>
        </w:rPr>
        <w:t xml:space="preserve"> </w:t>
      </w:r>
    </w:p>
    <w:p w:rsidR="00BF056B" w:rsidRPr="00CC3507" w:rsidRDefault="00BF056B" w:rsidP="00BF056B">
      <w:pPr>
        <w:numPr>
          <w:ilvl w:val="0"/>
          <w:numId w:val="13"/>
        </w:numPr>
        <w:spacing w:after="120" w:line="240" w:lineRule="auto"/>
        <w:ind w:hanging="437"/>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Development of the participation system of clearing members in covering of losses depending on their presence in different markets of the Group.</w:t>
      </w:r>
    </w:p>
    <w:p w:rsidR="00BF056B" w:rsidRPr="00CC3507" w:rsidRDefault="00BF056B" w:rsidP="00BF056B">
      <w:pPr>
        <w:spacing w:after="120" w:line="240" w:lineRule="auto"/>
        <w:ind w:firstLine="567"/>
        <w:jc w:val="both"/>
        <w:rPr>
          <w:rFonts w:ascii="Times New Roman" w:eastAsia="Times New Roman" w:hAnsi="Times New Roman" w:cs="Times New Roman"/>
          <w:bCs/>
          <w:sz w:val="24"/>
          <w:szCs w:val="24"/>
          <w:lang w:val="en-US"/>
        </w:rPr>
      </w:pPr>
    </w:p>
    <w:p w:rsidR="00BF056B" w:rsidRPr="00CC3507" w:rsidRDefault="00BF056B" w:rsidP="00BF056B">
      <w:pPr>
        <w:spacing w:after="120" w:line="240" w:lineRule="auto"/>
        <w:ind w:firstLine="567"/>
        <w:jc w:val="both"/>
        <w:rPr>
          <w:rFonts w:ascii="Times New Roman" w:eastAsia="Times New Roman" w:hAnsi="Times New Roman" w:cs="Times New Roman"/>
          <w:b/>
          <w:bCs/>
          <w:lang w:val="en-US"/>
        </w:rPr>
      </w:pPr>
      <w:r w:rsidRPr="00CC3507">
        <w:rPr>
          <w:rFonts w:ascii="Times New Roman" w:eastAsia="Times New Roman" w:hAnsi="Times New Roman" w:cs="Times New Roman"/>
          <w:b/>
          <w:bCs/>
          <w:lang w:val="en-US"/>
        </w:rPr>
        <w:t xml:space="preserve">Implementation of strategic business projects of the Group on NCC clearing development requires solution of the following </w:t>
      </w:r>
      <w:r w:rsidR="008D732A">
        <w:rPr>
          <w:rFonts w:ascii="Times New Roman" w:eastAsia="Times New Roman" w:hAnsi="Times New Roman" w:cs="Times New Roman"/>
          <w:b/>
          <w:bCs/>
          <w:lang w:val="en-US"/>
        </w:rPr>
        <w:t>major</w:t>
      </w:r>
      <w:r w:rsidRPr="00236D28">
        <w:rPr>
          <w:rFonts w:ascii="Times New Roman" w:eastAsia="Times New Roman" w:hAnsi="Times New Roman" w:cs="Times New Roman"/>
          <w:b/>
          <w:bCs/>
          <w:lang w:val="en-US"/>
        </w:rPr>
        <w:t xml:space="preserve"> </w:t>
      </w:r>
      <w:r w:rsidRPr="00CC3507">
        <w:rPr>
          <w:rFonts w:ascii="Times New Roman" w:eastAsia="Times New Roman" w:hAnsi="Times New Roman" w:cs="Times New Roman"/>
          <w:b/>
          <w:bCs/>
          <w:lang w:val="en-US"/>
        </w:rPr>
        <w:t>technological issues</w:t>
      </w:r>
      <w:r w:rsidR="00EB2DD3">
        <w:rPr>
          <w:rFonts w:ascii="Times New Roman" w:eastAsia="Times New Roman" w:hAnsi="Times New Roman" w:cs="Times New Roman"/>
          <w:b/>
          <w:bCs/>
          <w:lang w:val="en-US"/>
        </w:rPr>
        <w:t>:</w:t>
      </w:r>
    </w:p>
    <w:p w:rsidR="00BF056B" w:rsidRPr="00CC3507" w:rsidRDefault="00BF056B" w:rsidP="00BF056B">
      <w:pPr>
        <w:spacing w:after="120" w:line="240" w:lineRule="auto"/>
        <w:ind w:firstLine="567"/>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 xml:space="preserve">1. Implementation of unified collateral pool in the securities, exchange, </w:t>
      </w:r>
      <w:r w:rsidR="008D732A">
        <w:rPr>
          <w:rFonts w:ascii="Times New Roman" w:eastAsia="Times New Roman" w:hAnsi="Times New Roman" w:cs="Times New Roman"/>
          <w:bCs/>
          <w:sz w:val="24"/>
          <w:szCs w:val="24"/>
          <w:lang w:val="en-US"/>
        </w:rPr>
        <w:t>cash</w:t>
      </w:r>
      <w:r w:rsidRPr="00CC3507">
        <w:rPr>
          <w:rFonts w:ascii="Times New Roman" w:eastAsia="Times New Roman" w:hAnsi="Times New Roman" w:cs="Times New Roman"/>
          <w:bCs/>
          <w:sz w:val="24"/>
          <w:szCs w:val="24"/>
          <w:lang w:val="en-US"/>
        </w:rPr>
        <w:t xml:space="preserve"> and derivatives markets of Moscow Exchange Group (</w:t>
      </w:r>
      <w:r w:rsidR="00ED37D6">
        <w:rPr>
          <w:rFonts w:ascii="Times New Roman" w:eastAsia="Times New Roman" w:hAnsi="Times New Roman" w:cs="Times New Roman"/>
          <w:bCs/>
          <w:sz w:val="24"/>
          <w:szCs w:val="24"/>
          <w:lang w:val="en-US"/>
        </w:rPr>
        <w:t xml:space="preserve">forming of a </w:t>
      </w:r>
      <w:r w:rsidRPr="00CC3507">
        <w:rPr>
          <w:rFonts w:ascii="Times New Roman" w:eastAsia="Times New Roman" w:hAnsi="Times New Roman" w:cs="Times New Roman"/>
          <w:bCs/>
          <w:sz w:val="24"/>
          <w:szCs w:val="24"/>
          <w:lang w:val="en-US"/>
        </w:rPr>
        <w:t>“</w:t>
      </w:r>
      <w:r w:rsidR="00ED37D6">
        <w:rPr>
          <w:rFonts w:ascii="Times New Roman" w:eastAsia="Times New Roman" w:hAnsi="Times New Roman" w:cs="Times New Roman"/>
          <w:bCs/>
          <w:sz w:val="24"/>
          <w:szCs w:val="24"/>
          <w:lang w:val="en-US"/>
        </w:rPr>
        <w:t>single</w:t>
      </w:r>
      <w:r w:rsidRPr="00CC3507">
        <w:rPr>
          <w:rFonts w:ascii="Times New Roman" w:eastAsia="Times New Roman" w:hAnsi="Times New Roman" w:cs="Times New Roman"/>
          <w:bCs/>
          <w:sz w:val="24"/>
          <w:szCs w:val="24"/>
          <w:lang w:val="en-US"/>
        </w:rPr>
        <w:t xml:space="preserve"> purse").</w:t>
      </w:r>
    </w:p>
    <w:p w:rsidR="00BF056B" w:rsidRPr="00CC3507" w:rsidRDefault="00BF056B" w:rsidP="00BF056B">
      <w:pPr>
        <w:spacing w:after="120" w:line="240" w:lineRule="auto"/>
        <w:ind w:firstLine="567"/>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w:t>
      </w:r>
      <w:r w:rsidR="00ED37D6">
        <w:rPr>
          <w:rFonts w:ascii="Times New Roman" w:eastAsia="Times New Roman" w:hAnsi="Times New Roman" w:cs="Times New Roman"/>
          <w:bCs/>
          <w:sz w:val="24"/>
          <w:szCs w:val="24"/>
          <w:lang w:val="en-US"/>
        </w:rPr>
        <w:t>Single</w:t>
      </w:r>
      <w:r w:rsidRPr="00CC3507">
        <w:rPr>
          <w:rFonts w:ascii="Times New Roman" w:eastAsia="Times New Roman" w:hAnsi="Times New Roman" w:cs="Times New Roman"/>
          <w:bCs/>
          <w:sz w:val="24"/>
          <w:szCs w:val="24"/>
          <w:lang w:val="en-US"/>
        </w:rPr>
        <w:t xml:space="preserve"> purse" for acceptance, accounting and use of collateral in different markets of the Group will provide the following opportunities:</w:t>
      </w:r>
    </w:p>
    <w:p w:rsidR="00BF056B" w:rsidRPr="00CC3507" w:rsidRDefault="00BF056B" w:rsidP="00BF056B">
      <w:pPr>
        <w:numPr>
          <w:ilvl w:val="0"/>
          <w:numId w:val="14"/>
        </w:numPr>
        <w:spacing w:after="120" w:line="240" w:lineRule="auto"/>
        <w:ind w:left="1134" w:hanging="425"/>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Clearing members will be able to deposit collateral in cash and securities in all the markets and the same accounts – to the “</w:t>
      </w:r>
      <w:r w:rsidR="00B5200D">
        <w:rPr>
          <w:rFonts w:ascii="Times New Roman" w:eastAsia="Times New Roman" w:hAnsi="Times New Roman" w:cs="Times New Roman"/>
          <w:bCs/>
          <w:sz w:val="24"/>
          <w:szCs w:val="24"/>
          <w:lang w:val="en-US"/>
        </w:rPr>
        <w:t xml:space="preserve">single </w:t>
      </w:r>
      <w:r w:rsidRPr="00CC3507">
        <w:rPr>
          <w:rFonts w:ascii="Times New Roman" w:eastAsia="Times New Roman" w:hAnsi="Times New Roman" w:cs="Times New Roman"/>
          <w:bCs/>
          <w:sz w:val="24"/>
          <w:szCs w:val="24"/>
          <w:lang w:val="en-US"/>
        </w:rPr>
        <w:t xml:space="preserve"> purse";</w:t>
      </w:r>
    </w:p>
    <w:p w:rsidR="00BF056B" w:rsidRPr="00CC3507" w:rsidRDefault="00BF056B" w:rsidP="00BF056B">
      <w:pPr>
        <w:numPr>
          <w:ilvl w:val="0"/>
          <w:numId w:val="14"/>
        </w:numPr>
        <w:spacing w:after="120" w:line="240" w:lineRule="auto"/>
        <w:ind w:left="1134" w:hanging="425"/>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The way of collateral accounting will be unified in the exchange and securities markets based on ASTS+FORM;</w:t>
      </w:r>
    </w:p>
    <w:p w:rsidR="00BF056B" w:rsidRPr="00CC3507" w:rsidRDefault="00BF056B" w:rsidP="00BF056B">
      <w:pPr>
        <w:numPr>
          <w:ilvl w:val="0"/>
          <w:numId w:val="14"/>
        </w:numPr>
        <w:spacing w:after="120" w:line="240" w:lineRule="auto"/>
        <w:ind w:left="1134" w:hanging="425"/>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The obligations of a clearing member on trades concluded in different markets will be ensured and executed at a clearing member’s collateral accounted in the “</w:t>
      </w:r>
      <w:r w:rsidR="00EB2DD3">
        <w:rPr>
          <w:rFonts w:ascii="Times New Roman" w:eastAsia="Times New Roman" w:hAnsi="Times New Roman" w:cs="Times New Roman"/>
          <w:bCs/>
          <w:sz w:val="24"/>
          <w:szCs w:val="24"/>
          <w:lang w:val="en-US"/>
        </w:rPr>
        <w:t>single</w:t>
      </w:r>
      <w:r w:rsidRPr="00CC3507">
        <w:rPr>
          <w:rFonts w:ascii="Times New Roman" w:eastAsia="Times New Roman" w:hAnsi="Times New Roman" w:cs="Times New Roman"/>
          <w:bCs/>
          <w:sz w:val="24"/>
          <w:szCs w:val="24"/>
          <w:lang w:val="en-US"/>
        </w:rPr>
        <w:t xml:space="preserve"> purse".</w:t>
      </w:r>
    </w:p>
    <w:p w:rsidR="00BF056B" w:rsidRPr="00CC3507" w:rsidRDefault="00BF056B" w:rsidP="00BF056B">
      <w:pPr>
        <w:spacing w:after="120" w:line="240" w:lineRule="auto"/>
        <w:ind w:firstLine="567"/>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Clearing members will have an opportunity to “forward" risks between the exchange and derivative markets and between the securities/money markets.</w:t>
      </w:r>
    </w:p>
    <w:p w:rsidR="00BF056B" w:rsidRPr="00CC3507" w:rsidRDefault="00BF056B" w:rsidP="00BF056B">
      <w:pPr>
        <w:spacing w:after="120" w:line="240" w:lineRule="auto"/>
        <w:ind w:firstLine="567"/>
        <w:jc w:val="both"/>
        <w:rPr>
          <w:rFonts w:ascii="Times New Roman" w:eastAsia="Times New Roman" w:hAnsi="Times New Roman" w:cs="Times New Roman"/>
          <w:bCs/>
          <w:sz w:val="24"/>
          <w:szCs w:val="24"/>
          <w:lang w:val="en-US"/>
        </w:rPr>
      </w:pPr>
    </w:p>
    <w:p w:rsidR="00BF056B" w:rsidRPr="00CC3507" w:rsidRDefault="00BF056B" w:rsidP="00BF056B">
      <w:pPr>
        <w:spacing w:before="100" w:after="120" w:line="240" w:lineRule="auto"/>
        <w:jc w:val="center"/>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2. I</w:t>
      </w:r>
      <w:r w:rsidR="00B5200D">
        <w:rPr>
          <w:rFonts w:ascii="Times New Roman" w:eastAsia="Times New Roman" w:hAnsi="Times New Roman" w:cs="Times New Roman"/>
          <w:bCs/>
          <w:sz w:val="24"/>
          <w:szCs w:val="24"/>
          <w:lang w:val="en-US"/>
        </w:rPr>
        <w:t>ntroduction</w:t>
      </w:r>
      <w:r w:rsidRPr="00CC3507">
        <w:rPr>
          <w:rFonts w:ascii="Times New Roman" w:eastAsia="Times New Roman" w:hAnsi="Times New Roman" w:cs="Times New Roman"/>
          <w:bCs/>
          <w:sz w:val="24"/>
          <w:szCs w:val="24"/>
          <w:lang w:val="en-US"/>
        </w:rPr>
        <w:t xml:space="preserve"> of </w:t>
      </w:r>
      <w:proofErr w:type="gramStart"/>
      <w:r w:rsidR="00B5200D">
        <w:rPr>
          <w:rFonts w:ascii="Times New Roman" w:eastAsia="Times New Roman" w:hAnsi="Times New Roman" w:cs="Times New Roman"/>
          <w:bCs/>
          <w:sz w:val="24"/>
          <w:szCs w:val="24"/>
          <w:lang w:val="en-US"/>
        </w:rPr>
        <w:t>segregated</w:t>
      </w:r>
      <w:r w:rsidR="00EB2DD3">
        <w:rPr>
          <w:rFonts w:ascii="Times New Roman" w:eastAsia="Times New Roman" w:hAnsi="Times New Roman" w:cs="Times New Roman"/>
          <w:bCs/>
          <w:sz w:val="24"/>
          <w:szCs w:val="24"/>
          <w:lang w:val="en-US"/>
        </w:rPr>
        <w:t xml:space="preserve"> </w:t>
      </w:r>
      <w:r w:rsidRPr="00CC3507">
        <w:rPr>
          <w:rFonts w:ascii="Times New Roman" w:eastAsia="Times New Roman" w:hAnsi="Times New Roman" w:cs="Times New Roman"/>
          <w:bCs/>
          <w:sz w:val="24"/>
          <w:szCs w:val="24"/>
          <w:lang w:val="en-US"/>
        </w:rPr>
        <w:t xml:space="preserve"> </w:t>
      </w:r>
      <w:r w:rsidR="00B5200D">
        <w:rPr>
          <w:rFonts w:ascii="Times New Roman" w:eastAsia="Times New Roman" w:hAnsi="Times New Roman" w:cs="Times New Roman"/>
          <w:bCs/>
          <w:sz w:val="24"/>
          <w:szCs w:val="24"/>
          <w:lang w:val="en-US"/>
        </w:rPr>
        <w:t>accounting</w:t>
      </w:r>
      <w:proofErr w:type="gramEnd"/>
      <w:r w:rsidRPr="00CC3507">
        <w:rPr>
          <w:rFonts w:ascii="Times New Roman" w:eastAsia="Times New Roman" w:hAnsi="Times New Roman" w:cs="Times New Roman"/>
          <w:bCs/>
          <w:sz w:val="24"/>
          <w:szCs w:val="24"/>
          <w:lang w:val="en-US"/>
        </w:rPr>
        <w:t xml:space="preserve"> of clearing members</w:t>
      </w:r>
      <w:r w:rsidR="00B90659">
        <w:rPr>
          <w:rFonts w:ascii="Times New Roman" w:eastAsia="Times New Roman" w:hAnsi="Times New Roman" w:cs="Times New Roman"/>
          <w:bCs/>
          <w:sz w:val="24"/>
          <w:szCs w:val="24"/>
          <w:lang w:val="en-US"/>
        </w:rPr>
        <w:t>’ funds</w:t>
      </w:r>
      <w:r w:rsidRPr="00CC3507">
        <w:rPr>
          <w:rFonts w:ascii="Times New Roman" w:eastAsia="Times New Roman" w:hAnsi="Times New Roman" w:cs="Times New Roman"/>
          <w:bCs/>
          <w:sz w:val="24"/>
          <w:szCs w:val="24"/>
          <w:lang w:val="en-US"/>
        </w:rPr>
        <w:t xml:space="preserve"> and </w:t>
      </w:r>
      <w:r w:rsidR="00B90659">
        <w:rPr>
          <w:rFonts w:ascii="Times New Roman" w:eastAsia="Times New Roman" w:hAnsi="Times New Roman" w:cs="Times New Roman"/>
          <w:bCs/>
          <w:sz w:val="24"/>
          <w:szCs w:val="24"/>
          <w:lang w:val="en-US"/>
        </w:rPr>
        <w:t xml:space="preserve">funds of </w:t>
      </w:r>
      <w:r w:rsidRPr="00CC3507">
        <w:rPr>
          <w:rFonts w:ascii="Times New Roman" w:eastAsia="Times New Roman" w:hAnsi="Times New Roman" w:cs="Times New Roman"/>
          <w:bCs/>
          <w:sz w:val="24"/>
          <w:szCs w:val="24"/>
          <w:lang w:val="en-US"/>
        </w:rPr>
        <w:t>their clients</w:t>
      </w:r>
    </w:p>
    <w:p w:rsidR="00BF056B" w:rsidRPr="00CC3507" w:rsidRDefault="00BF056B" w:rsidP="00BF056B">
      <w:pPr>
        <w:spacing w:after="120" w:line="240" w:lineRule="auto"/>
        <w:ind w:firstLine="567"/>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 xml:space="preserve">As a result of such </w:t>
      </w:r>
      <w:r w:rsidR="00B90659">
        <w:rPr>
          <w:rFonts w:ascii="Times New Roman" w:eastAsia="Times New Roman" w:hAnsi="Times New Roman" w:cs="Times New Roman"/>
          <w:bCs/>
          <w:sz w:val="24"/>
          <w:szCs w:val="24"/>
          <w:lang w:val="en-US"/>
        </w:rPr>
        <w:t xml:space="preserve">order </w:t>
      </w:r>
      <w:r w:rsidRPr="00CC3507">
        <w:rPr>
          <w:rFonts w:ascii="Times New Roman" w:eastAsia="Times New Roman" w:hAnsi="Times New Roman" w:cs="Times New Roman"/>
          <w:bCs/>
          <w:sz w:val="24"/>
          <w:szCs w:val="24"/>
          <w:lang w:val="en-US"/>
        </w:rPr>
        <w:t xml:space="preserve">implementation </w:t>
      </w:r>
      <w:r w:rsidR="00B90659">
        <w:rPr>
          <w:rFonts w:ascii="Times New Roman" w:eastAsia="Times New Roman" w:hAnsi="Times New Roman" w:cs="Times New Roman"/>
          <w:bCs/>
          <w:sz w:val="24"/>
          <w:szCs w:val="24"/>
          <w:lang w:val="en-US"/>
        </w:rPr>
        <w:t>funds</w:t>
      </w:r>
      <w:r w:rsidRPr="00CC3507">
        <w:rPr>
          <w:rFonts w:ascii="Times New Roman" w:eastAsia="Times New Roman" w:hAnsi="Times New Roman" w:cs="Times New Roman"/>
          <w:bCs/>
          <w:sz w:val="24"/>
          <w:szCs w:val="24"/>
          <w:lang w:val="en-US"/>
        </w:rPr>
        <w:t xml:space="preserve"> of a clearing member and its clients in the internal accounting of NCC and in the trading clearing systems in the securities, exchange and derivative markets of Moscow Exchange Group will be considered separately. All the </w:t>
      </w:r>
      <w:r w:rsidR="00B90659">
        <w:rPr>
          <w:rFonts w:ascii="Times New Roman" w:eastAsia="Times New Roman" w:hAnsi="Times New Roman" w:cs="Times New Roman"/>
          <w:bCs/>
          <w:sz w:val="24"/>
          <w:szCs w:val="24"/>
          <w:lang w:val="en-US"/>
        </w:rPr>
        <w:t>funds</w:t>
      </w:r>
      <w:r w:rsidRPr="00CC3507">
        <w:rPr>
          <w:rFonts w:ascii="Times New Roman" w:eastAsia="Times New Roman" w:hAnsi="Times New Roman" w:cs="Times New Roman"/>
          <w:bCs/>
          <w:sz w:val="24"/>
          <w:szCs w:val="24"/>
          <w:lang w:val="en-US"/>
        </w:rPr>
        <w:t xml:space="preserve"> of a clearing member will have a </w:t>
      </w:r>
      <w:r w:rsidR="008646CA">
        <w:rPr>
          <w:rFonts w:ascii="Times New Roman" w:eastAsia="Times New Roman" w:hAnsi="Times New Roman" w:cs="Times New Roman"/>
          <w:bCs/>
          <w:sz w:val="24"/>
          <w:szCs w:val="24"/>
          <w:lang w:val="en-US"/>
        </w:rPr>
        <w:t>feature</w:t>
      </w:r>
      <w:r w:rsidRPr="00CC3507">
        <w:rPr>
          <w:rFonts w:ascii="Times New Roman" w:eastAsia="Times New Roman" w:hAnsi="Times New Roman" w:cs="Times New Roman"/>
          <w:bCs/>
          <w:sz w:val="24"/>
          <w:szCs w:val="24"/>
          <w:lang w:val="en-US"/>
        </w:rPr>
        <w:t xml:space="preserve"> defining their origin:</w:t>
      </w:r>
    </w:p>
    <w:p w:rsidR="00BF056B" w:rsidRPr="00CC3507" w:rsidRDefault="00BF056B" w:rsidP="00BF056B">
      <w:pPr>
        <w:numPr>
          <w:ilvl w:val="0"/>
          <w:numId w:val="15"/>
        </w:numPr>
        <w:spacing w:after="120" w:line="240" w:lineRule="auto"/>
        <w:ind w:left="1134" w:hanging="436"/>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 xml:space="preserve">Clearing members’ </w:t>
      </w:r>
      <w:r w:rsidR="008646CA">
        <w:rPr>
          <w:rFonts w:ascii="Times New Roman" w:eastAsia="Times New Roman" w:hAnsi="Times New Roman" w:cs="Times New Roman"/>
          <w:bCs/>
          <w:sz w:val="24"/>
          <w:szCs w:val="24"/>
          <w:lang w:val="en-US"/>
        </w:rPr>
        <w:t>funds</w:t>
      </w:r>
      <w:r w:rsidRPr="00CC3507">
        <w:rPr>
          <w:rFonts w:ascii="Times New Roman" w:eastAsia="Times New Roman" w:hAnsi="Times New Roman" w:cs="Times New Roman"/>
          <w:bCs/>
          <w:sz w:val="24"/>
          <w:szCs w:val="24"/>
          <w:lang w:val="en-US"/>
        </w:rPr>
        <w:t>;</w:t>
      </w:r>
    </w:p>
    <w:p w:rsidR="00BF056B" w:rsidRPr="00CC3507" w:rsidRDefault="008646CA" w:rsidP="00BF056B">
      <w:pPr>
        <w:numPr>
          <w:ilvl w:val="0"/>
          <w:numId w:val="15"/>
        </w:numPr>
        <w:spacing w:after="120" w:line="240" w:lineRule="auto"/>
        <w:ind w:left="1134" w:hanging="436"/>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Funds</w:t>
      </w:r>
      <w:r w:rsidR="00BF056B" w:rsidRPr="00CC3507">
        <w:rPr>
          <w:rFonts w:ascii="Times New Roman" w:eastAsia="Times New Roman" w:hAnsi="Times New Roman" w:cs="Times New Roman"/>
          <w:bCs/>
          <w:sz w:val="24"/>
          <w:szCs w:val="24"/>
          <w:lang w:val="en-US"/>
        </w:rPr>
        <w:t xml:space="preserve"> of clients of clearing members;</w:t>
      </w:r>
    </w:p>
    <w:p w:rsidR="00BF056B" w:rsidRPr="00CC3507" w:rsidRDefault="008646CA" w:rsidP="00BF056B">
      <w:pPr>
        <w:numPr>
          <w:ilvl w:val="0"/>
          <w:numId w:val="15"/>
        </w:numPr>
        <w:spacing w:after="120" w:line="240" w:lineRule="auto"/>
        <w:ind w:left="1134" w:hanging="436"/>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Funds</w:t>
      </w:r>
      <w:r w:rsidR="00BF056B" w:rsidRPr="00CC3507">
        <w:rPr>
          <w:rFonts w:ascii="Times New Roman" w:eastAsia="Times New Roman" w:hAnsi="Times New Roman" w:cs="Times New Roman"/>
          <w:bCs/>
          <w:sz w:val="24"/>
          <w:szCs w:val="24"/>
          <w:lang w:val="en-US"/>
        </w:rPr>
        <w:t xml:space="preserve"> transferred to a clearing member for trust management.</w:t>
      </w:r>
    </w:p>
    <w:p w:rsidR="00BF056B" w:rsidRPr="00CC3507" w:rsidRDefault="00BF056B" w:rsidP="00BF056B">
      <w:pPr>
        <w:spacing w:after="120" w:line="240" w:lineRule="auto"/>
        <w:ind w:firstLine="567"/>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 xml:space="preserve">Upon a request of a clearing member NCC can ensure implementation of a certain internal accounting of client’s </w:t>
      </w:r>
      <w:r w:rsidR="008646CA">
        <w:rPr>
          <w:rFonts w:ascii="Times New Roman" w:eastAsia="Times New Roman" w:hAnsi="Times New Roman" w:cs="Times New Roman"/>
          <w:bCs/>
          <w:sz w:val="24"/>
          <w:szCs w:val="24"/>
          <w:lang w:val="en-US"/>
        </w:rPr>
        <w:t>funds</w:t>
      </w:r>
      <w:r w:rsidRPr="00CC3507">
        <w:rPr>
          <w:rFonts w:ascii="Times New Roman" w:eastAsia="Times New Roman" w:hAnsi="Times New Roman" w:cs="Times New Roman"/>
          <w:bCs/>
          <w:sz w:val="24"/>
          <w:szCs w:val="24"/>
          <w:lang w:val="en-US"/>
        </w:rPr>
        <w:t xml:space="preserve"> stipulated in the requ</w:t>
      </w:r>
      <w:r w:rsidR="008646CA">
        <w:rPr>
          <w:rFonts w:ascii="Times New Roman" w:eastAsia="Times New Roman" w:hAnsi="Times New Roman" w:cs="Times New Roman"/>
          <w:bCs/>
          <w:sz w:val="24"/>
          <w:szCs w:val="24"/>
          <w:lang w:val="en-US"/>
        </w:rPr>
        <w:t>est</w:t>
      </w:r>
      <w:r w:rsidRPr="00CC3507">
        <w:rPr>
          <w:rFonts w:ascii="Times New Roman" w:eastAsia="Times New Roman" w:hAnsi="Times New Roman" w:cs="Times New Roman"/>
          <w:bCs/>
          <w:sz w:val="24"/>
          <w:szCs w:val="24"/>
          <w:lang w:val="en-US"/>
        </w:rPr>
        <w:t>. There will be</w:t>
      </w:r>
      <w:r w:rsidR="00833E64">
        <w:rPr>
          <w:rFonts w:ascii="Times New Roman" w:eastAsia="Times New Roman" w:hAnsi="Times New Roman" w:cs="Times New Roman"/>
          <w:bCs/>
          <w:sz w:val="24"/>
          <w:szCs w:val="24"/>
          <w:lang w:val="en-US"/>
        </w:rPr>
        <w:t xml:space="preserve"> a</w:t>
      </w:r>
      <w:r w:rsidRPr="00CC3507">
        <w:rPr>
          <w:rFonts w:ascii="Times New Roman" w:eastAsia="Times New Roman" w:hAnsi="Times New Roman" w:cs="Times New Roman"/>
          <w:bCs/>
          <w:sz w:val="24"/>
          <w:szCs w:val="24"/>
          <w:lang w:val="en-US"/>
        </w:rPr>
        <w:t xml:space="preserve"> </w:t>
      </w:r>
      <w:r w:rsidR="00AC13B3">
        <w:rPr>
          <w:rFonts w:ascii="Times New Roman" w:eastAsia="Times New Roman" w:hAnsi="Times New Roman" w:cs="Times New Roman"/>
          <w:bCs/>
          <w:sz w:val="24"/>
          <w:szCs w:val="24"/>
          <w:lang w:val="en-US"/>
        </w:rPr>
        <w:t xml:space="preserve">ban </w:t>
      </w:r>
      <w:proofErr w:type="gramStart"/>
      <w:r w:rsidRPr="00CC3507">
        <w:rPr>
          <w:rFonts w:ascii="Times New Roman" w:eastAsia="Times New Roman" w:hAnsi="Times New Roman" w:cs="Times New Roman"/>
          <w:bCs/>
          <w:sz w:val="24"/>
          <w:szCs w:val="24"/>
          <w:lang w:val="en-US"/>
        </w:rPr>
        <w:t xml:space="preserve">set </w:t>
      </w:r>
      <w:r>
        <w:rPr>
          <w:rFonts w:ascii="Times New Roman" w:eastAsia="Times New Roman" w:hAnsi="Times New Roman" w:cs="Times New Roman"/>
          <w:bCs/>
          <w:sz w:val="24"/>
          <w:szCs w:val="24"/>
          <w:lang w:val="en-US"/>
        </w:rPr>
        <w:t xml:space="preserve"> </w:t>
      </w:r>
      <w:r w:rsidRPr="00CC3507">
        <w:rPr>
          <w:rFonts w:ascii="Times New Roman" w:eastAsia="Times New Roman" w:hAnsi="Times New Roman" w:cs="Times New Roman"/>
          <w:bCs/>
          <w:sz w:val="24"/>
          <w:szCs w:val="24"/>
          <w:lang w:val="en-US"/>
        </w:rPr>
        <w:t>on</w:t>
      </w:r>
      <w:proofErr w:type="gramEnd"/>
      <w:r w:rsidRPr="00CC3507">
        <w:rPr>
          <w:rFonts w:ascii="Times New Roman" w:eastAsia="Times New Roman" w:hAnsi="Times New Roman" w:cs="Times New Roman"/>
          <w:bCs/>
          <w:sz w:val="24"/>
          <w:szCs w:val="24"/>
          <w:lang w:val="en-US"/>
        </w:rPr>
        <w:t xml:space="preserve"> use of clients’ </w:t>
      </w:r>
      <w:r w:rsidR="00AC13B3">
        <w:rPr>
          <w:rFonts w:ascii="Times New Roman" w:eastAsia="Times New Roman" w:hAnsi="Times New Roman" w:cs="Times New Roman"/>
          <w:bCs/>
          <w:sz w:val="24"/>
          <w:szCs w:val="24"/>
          <w:lang w:val="en-US"/>
        </w:rPr>
        <w:t>funds</w:t>
      </w:r>
      <w:r w:rsidRPr="00CC3507">
        <w:rPr>
          <w:rFonts w:ascii="Times New Roman" w:eastAsia="Times New Roman" w:hAnsi="Times New Roman" w:cs="Times New Roman"/>
          <w:bCs/>
          <w:sz w:val="24"/>
          <w:szCs w:val="24"/>
          <w:lang w:val="en-US"/>
        </w:rPr>
        <w:t xml:space="preserve"> by a clearing member (including </w:t>
      </w:r>
      <w:r w:rsidR="00AC13B3">
        <w:rPr>
          <w:rFonts w:ascii="Times New Roman" w:eastAsia="Times New Roman" w:hAnsi="Times New Roman" w:cs="Times New Roman"/>
          <w:bCs/>
          <w:sz w:val="24"/>
          <w:szCs w:val="24"/>
          <w:lang w:val="en-US"/>
        </w:rPr>
        <w:t>funds</w:t>
      </w:r>
      <w:r w:rsidRPr="00CC3507">
        <w:rPr>
          <w:rFonts w:ascii="Times New Roman" w:eastAsia="Times New Roman" w:hAnsi="Times New Roman" w:cs="Times New Roman"/>
          <w:bCs/>
          <w:sz w:val="24"/>
          <w:szCs w:val="24"/>
          <w:lang w:val="en-US"/>
        </w:rPr>
        <w:t xml:space="preserve"> transferred to a clearing member for trust management) to fulfill its obligations under the trades concluded by a clearing member at its own expense or to fulfill other obligations of a clearing member towards NCC.</w:t>
      </w:r>
    </w:p>
    <w:p w:rsidR="00BF056B" w:rsidRPr="00CC3507" w:rsidRDefault="00BF056B" w:rsidP="00BF056B">
      <w:pPr>
        <w:spacing w:after="120" w:line="240" w:lineRule="auto"/>
        <w:ind w:firstLine="567"/>
        <w:jc w:val="both"/>
        <w:rPr>
          <w:rFonts w:ascii="Times New Roman" w:eastAsia="Times New Roman" w:hAnsi="Times New Roman" w:cs="Times New Roman"/>
          <w:bCs/>
          <w:sz w:val="24"/>
          <w:szCs w:val="24"/>
          <w:lang w:val="en-US"/>
        </w:rPr>
      </w:pPr>
    </w:p>
    <w:p w:rsidR="00BF056B" w:rsidRPr="00CC3507" w:rsidRDefault="00BF056B" w:rsidP="00BF056B">
      <w:pPr>
        <w:spacing w:before="100" w:after="120" w:line="240" w:lineRule="auto"/>
        <w:jc w:val="center"/>
        <w:rPr>
          <w:rFonts w:ascii="Times New Roman" w:eastAsia="Times New Roman" w:hAnsi="Times New Roman" w:cs="Times New Roman"/>
          <w:bCs/>
          <w:sz w:val="24"/>
          <w:szCs w:val="24"/>
          <w:lang w:val="en-US"/>
        </w:rPr>
      </w:pPr>
      <w:r w:rsidRPr="007D46CA">
        <w:rPr>
          <w:rFonts w:ascii="Times New Roman" w:eastAsia="Times New Roman" w:hAnsi="Times New Roman" w:cs="Times New Roman"/>
          <w:bCs/>
          <w:sz w:val="24"/>
          <w:szCs w:val="24"/>
          <w:lang w:val="en-US"/>
        </w:rPr>
        <w:t>3. Transfer</w:t>
      </w:r>
      <w:r w:rsidRPr="00CC3507">
        <w:rPr>
          <w:rFonts w:ascii="Times New Roman" w:eastAsia="Times New Roman" w:hAnsi="Times New Roman" w:cs="Times New Roman"/>
          <w:bCs/>
          <w:sz w:val="24"/>
          <w:szCs w:val="24"/>
          <w:lang w:val="en-US"/>
        </w:rPr>
        <w:t xml:space="preserve"> of the obligations and client’s collateral </w:t>
      </w:r>
      <w:r>
        <w:rPr>
          <w:rFonts w:ascii="Times New Roman" w:eastAsia="Times New Roman" w:hAnsi="Times New Roman" w:cs="Times New Roman"/>
          <w:bCs/>
          <w:sz w:val="24"/>
          <w:szCs w:val="24"/>
          <w:lang w:val="en-US"/>
        </w:rPr>
        <w:t>from one clearing member</w:t>
      </w:r>
      <w:r w:rsidRPr="00E63411">
        <w:rPr>
          <w:rFonts w:ascii="Times New Roman" w:eastAsia="Times New Roman" w:hAnsi="Times New Roman" w:cs="Times New Roman"/>
          <w:bCs/>
          <w:sz w:val="24"/>
          <w:szCs w:val="24"/>
          <w:lang w:val="en-US"/>
        </w:rPr>
        <w:t xml:space="preserve"> </w:t>
      </w:r>
      <w:r w:rsidRPr="00CC3507">
        <w:rPr>
          <w:rFonts w:ascii="Times New Roman" w:eastAsia="Times New Roman" w:hAnsi="Times New Roman" w:cs="Times New Roman"/>
          <w:bCs/>
          <w:sz w:val="24"/>
          <w:szCs w:val="24"/>
          <w:lang w:val="en-US"/>
        </w:rPr>
        <w:t>to another clearing member in case of default</w:t>
      </w:r>
    </w:p>
    <w:p w:rsidR="00BF056B" w:rsidRPr="00CC3507" w:rsidRDefault="00BF056B" w:rsidP="00BF056B">
      <w:pPr>
        <w:spacing w:after="120" w:line="240" w:lineRule="auto"/>
        <w:ind w:firstLine="567"/>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 xml:space="preserve">In the securities, exchange and derivatives markets of Moscow Exchange Group there will be implemented an opportunity to transfer collateral, debt and assignment </w:t>
      </w:r>
      <w:r>
        <w:rPr>
          <w:rFonts w:ascii="Times New Roman" w:eastAsia="Times New Roman" w:hAnsi="Times New Roman" w:cs="Times New Roman"/>
          <w:bCs/>
          <w:sz w:val="24"/>
          <w:szCs w:val="24"/>
          <w:lang w:val="en-US"/>
        </w:rPr>
        <w:t xml:space="preserve">from </w:t>
      </w:r>
      <w:r w:rsidRPr="00DA09E2">
        <w:rPr>
          <w:rFonts w:ascii="Times New Roman" w:eastAsia="Times New Roman" w:hAnsi="Times New Roman" w:cs="Times New Roman"/>
          <w:bCs/>
          <w:sz w:val="24"/>
          <w:szCs w:val="24"/>
          <w:lang w:val="en-US"/>
        </w:rPr>
        <w:t>one</w:t>
      </w:r>
      <w:r w:rsidRPr="00CC3507">
        <w:rPr>
          <w:rFonts w:ascii="Times New Roman" w:eastAsia="Times New Roman" w:hAnsi="Times New Roman" w:cs="Times New Roman"/>
          <w:bCs/>
          <w:sz w:val="24"/>
          <w:szCs w:val="24"/>
          <w:lang w:val="en-US"/>
        </w:rPr>
        <w:t xml:space="preserve"> clearing member to the CCP under the obligations allowed for clearing to another clearing member under the terms and conditions stipulated by the Clearing Rules provided that there is consent of NCC to the clearing member to whom a debt and assignment are transferred as well as to the  client  at whose expense such obligations shall be fulfilled.</w:t>
      </w:r>
    </w:p>
    <w:p w:rsidR="00BF056B" w:rsidRPr="00CC3507" w:rsidRDefault="00BF056B" w:rsidP="00BF056B">
      <w:pPr>
        <w:spacing w:after="120" w:line="240" w:lineRule="auto"/>
        <w:ind w:firstLine="567"/>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 xml:space="preserve">Implementation of possibility to transfer obligations/requirements and client’s collateral </w:t>
      </w:r>
      <w:r>
        <w:rPr>
          <w:rFonts w:ascii="Times New Roman" w:eastAsia="Times New Roman" w:hAnsi="Times New Roman" w:cs="Times New Roman"/>
          <w:bCs/>
          <w:sz w:val="24"/>
          <w:szCs w:val="24"/>
          <w:lang w:val="en-US"/>
        </w:rPr>
        <w:t xml:space="preserve">from one clearing member </w:t>
      </w:r>
      <w:r w:rsidRPr="00CC3507">
        <w:rPr>
          <w:rFonts w:ascii="Times New Roman" w:eastAsia="Times New Roman" w:hAnsi="Times New Roman" w:cs="Times New Roman"/>
          <w:bCs/>
          <w:sz w:val="24"/>
          <w:szCs w:val="24"/>
          <w:lang w:val="en-US"/>
        </w:rPr>
        <w:t>to another clearing member will provide the client with additional protection against the risks related to the risk of default of a clearing member rendering the services.</w:t>
      </w:r>
    </w:p>
    <w:p w:rsidR="00BF056B" w:rsidRPr="00CC3507" w:rsidRDefault="00BF056B" w:rsidP="00BF056B">
      <w:pPr>
        <w:spacing w:after="120" w:line="240" w:lineRule="auto"/>
        <w:ind w:firstLine="567"/>
        <w:jc w:val="both"/>
        <w:rPr>
          <w:rFonts w:ascii="Times New Roman" w:eastAsia="Times New Roman" w:hAnsi="Times New Roman" w:cs="Times New Roman"/>
          <w:bCs/>
          <w:sz w:val="24"/>
          <w:szCs w:val="24"/>
          <w:lang w:val="en-US"/>
        </w:rPr>
      </w:pPr>
    </w:p>
    <w:p w:rsidR="00BF056B" w:rsidRPr="00CC3507" w:rsidRDefault="00BF056B" w:rsidP="00BF056B">
      <w:pPr>
        <w:spacing w:after="120" w:line="240" w:lineRule="auto"/>
        <w:ind w:firstLine="567"/>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4. Implementation of possibility to perform cross default procedure among all the markets</w:t>
      </w:r>
    </w:p>
    <w:p w:rsidR="00BF056B" w:rsidRPr="00CC3507" w:rsidRDefault="00BF056B" w:rsidP="00BF056B">
      <w:pPr>
        <w:spacing w:after="120" w:line="240" w:lineRule="auto"/>
        <w:ind w:firstLine="567"/>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In the securities, exchange and derivatives markets of Moscow Exchange Group possibility to perform cross default procedures will be implemented in order to:</w:t>
      </w:r>
    </w:p>
    <w:p w:rsidR="00BF056B" w:rsidRPr="00CC3507" w:rsidRDefault="00BF056B" w:rsidP="00BF056B">
      <w:pPr>
        <w:numPr>
          <w:ilvl w:val="0"/>
          <w:numId w:val="16"/>
        </w:numPr>
        <w:spacing w:after="120" w:line="240" w:lineRule="auto"/>
        <w:ind w:left="1134" w:hanging="437"/>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Clear off debts owned by a clearing member to NCC in any of the mentioned markets, the Bank will have an opportunity to use individual and collective clearing collateral of such a clearing member accounted in the other markets;</w:t>
      </w:r>
    </w:p>
    <w:p w:rsidR="00BF056B" w:rsidRPr="00CC3507" w:rsidRDefault="00BF056B" w:rsidP="00BF056B">
      <w:pPr>
        <w:numPr>
          <w:ilvl w:val="0"/>
          <w:numId w:val="16"/>
        </w:numPr>
        <w:spacing w:after="120" w:line="240" w:lineRule="auto"/>
        <w:ind w:left="1134" w:hanging="437"/>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Implement “closing positions mode" in the exchange and securities markets,</w:t>
      </w:r>
    </w:p>
    <w:p w:rsidR="00BF056B" w:rsidRPr="00CC3507" w:rsidRDefault="00BF056B" w:rsidP="00BF056B">
      <w:pPr>
        <w:spacing w:after="120" w:line="240" w:lineRule="auto"/>
        <w:ind w:firstLine="567"/>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Unification of default management procedures in case of non-fulfillment of the obligations by a clearing member in any of the markers will enable:</w:t>
      </w:r>
    </w:p>
    <w:p w:rsidR="00BF056B" w:rsidRPr="00CC3507" w:rsidRDefault="00BF056B" w:rsidP="00BF056B">
      <w:pPr>
        <w:numPr>
          <w:ilvl w:val="0"/>
          <w:numId w:val="16"/>
        </w:numPr>
        <w:spacing w:after="120" w:line="240" w:lineRule="auto"/>
        <w:ind w:left="1134" w:hanging="437"/>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To transfer non-fulfilled obligations under the trades of a clearing member to the next day through swap/REPO trades based on collateral from the “</w:t>
      </w:r>
      <w:r w:rsidR="0075516C">
        <w:rPr>
          <w:rFonts w:ascii="Times New Roman" w:eastAsia="Times New Roman" w:hAnsi="Times New Roman" w:cs="Times New Roman"/>
          <w:bCs/>
          <w:sz w:val="24"/>
          <w:szCs w:val="24"/>
          <w:lang w:val="en-US"/>
        </w:rPr>
        <w:t>single</w:t>
      </w:r>
      <w:r w:rsidRPr="00CC3507">
        <w:rPr>
          <w:rFonts w:ascii="Times New Roman" w:eastAsia="Times New Roman" w:hAnsi="Times New Roman" w:cs="Times New Roman"/>
          <w:bCs/>
          <w:sz w:val="24"/>
          <w:szCs w:val="24"/>
          <w:lang w:val="en-US"/>
        </w:rPr>
        <w:t xml:space="preserve"> purse";</w:t>
      </w:r>
    </w:p>
    <w:p w:rsidR="00BF056B" w:rsidRPr="00CC3507" w:rsidRDefault="00BF056B" w:rsidP="00BF056B">
      <w:pPr>
        <w:numPr>
          <w:ilvl w:val="0"/>
          <w:numId w:val="16"/>
        </w:numPr>
        <w:spacing w:after="120" w:line="240" w:lineRule="auto"/>
        <w:ind w:left="1134" w:hanging="437"/>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To implement collateral from the “</w:t>
      </w:r>
      <w:r w:rsidR="0075516C">
        <w:rPr>
          <w:rFonts w:ascii="Times New Roman" w:eastAsia="Times New Roman" w:hAnsi="Times New Roman" w:cs="Times New Roman"/>
          <w:bCs/>
          <w:sz w:val="24"/>
          <w:szCs w:val="24"/>
          <w:lang w:val="en-US"/>
        </w:rPr>
        <w:t>single</w:t>
      </w:r>
      <w:r w:rsidRPr="00CC3507">
        <w:rPr>
          <w:rFonts w:ascii="Times New Roman" w:eastAsia="Times New Roman" w:hAnsi="Times New Roman" w:cs="Times New Roman"/>
          <w:bCs/>
          <w:sz w:val="24"/>
          <w:szCs w:val="24"/>
          <w:lang w:val="en-US"/>
        </w:rPr>
        <w:t xml:space="preserve"> purse" in case of debt unsettlement occurred in any of the markets.</w:t>
      </w:r>
    </w:p>
    <w:p w:rsidR="00BF056B" w:rsidRPr="00CC3507" w:rsidRDefault="00BF056B" w:rsidP="00BF056B">
      <w:pPr>
        <w:spacing w:after="120" w:line="240" w:lineRule="auto"/>
        <w:ind w:firstLine="567"/>
        <w:jc w:val="both"/>
        <w:rPr>
          <w:rFonts w:ascii="Times New Roman" w:eastAsia="Times New Roman" w:hAnsi="Times New Roman" w:cs="Times New Roman"/>
          <w:bCs/>
          <w:sz w:val="24"/>
          <w:szCs w:val="24"/>
          <w:lang w:val="en-US"/>
        </w:rPr>
      </w:pPr>
    </w:p>
    <w:p w:rsidR="00BF056B" w:rsidRPr="00CC3507" w:rsidRDefault="00BF056B" w:rsidP="00BF056B">
      <w:pPr>
        <w:spacing w:before="100" w:after="120" w:line="240" w:lineRule="auto"/>
        <w:jc w:val="center"/>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5. Unification of payment methods to guarantee funds</w:t>
      </w:r>
    </w:p>
    <w:p w:rsidR="00BF056B" w:rsidRPr="00CC3507" w:rsidRDefault="00BF056B" w:rsidP="00BF056B">
      <w:pPr>
        <w:spacing w:after="120" w:line="240" w:lineRule="auto"/>
        <w:ind w:firstLine="567"/>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Besides strengthening of the CC</w:t>
      </w:r>
      <w:r w:rsidR="002B1B7D">
        <w:rPr>
          <w:rFonts w:ascii="Times New Roman" w:eastAsia="Times New Roman" w:hAnsi="Times New Roman" w:cs="Times New Roman"/>
          <w:bCs/>
          <w:sz w:val="24"/>
          <w:szCs w:val="24"/>
          <w:lang w:val="en-US"/>
        </w:rPr>
        <w:t>P</w:t>
      </w:r>
      <w:r w:rsidRPr="00CC3507">
        <w:rPr>
          <w:rFonts w:ascii="Times New Roman" w:eastAsia="Times New Roman" w:hAnsi="Times New Roman" w:cs="Times New Roman"/>
          <w:bCs/>
          <w:sz w:val="24"/>
          <w:szCs w:val="24"/>
          <w:lang w:val="en-US"/>
        </w:rPr>
        <w:t xml:space="preserve">’s risk management system, a unified concept of guarantee funds in the markets of the Group will simplify the system of clients adaptation due to use of consequent cross-market procedures and change for the international standards. Unification of payment methods to guarantee funds stipulates that clearing members will be able to deposit to all the guarantee funds in all the markets: </w:t>
      </w:r>
      <w:proofErr w:type="spellStart"/>
      <w:r w:rsidRPr="00CC3507">
        <w:rPr>
          <w:rFonts w:ascii="Times New Roman" w:eastAsia="Times New Roman" w:hAnsi="Times New Roman" w:cs="Times New Roman"/>
          <w:bCs/>
          <w:sz w:val="24"/>
          <w:szCs w:val="24"/>
          <w:lang w:val="en-US"/>
        </w:rPr>
        <w:t>roubles</w:t>
      </w:r>
      <w:proofErr w:type="spellEnd"/>
      <w:r w:rsidRPr="00CC3507">
        <w:rPr>
          <w:rFonts w:ascii="Times New Roman" w:eastAsia="Times New Roman" w:hAnsi="Times New Roman" w:cs="Times New Roman"/>
          <w:bCs/>
          <w:sz w:val="24"/>
          <w:szCs w:val="24"/>
          <w:lang w:val="en-US"/>
        </w:rPr>
        <w:t>, foreign currency and securities.</w:t>
      </w:r>
    </w:p>
    <w:p w:rsidR="00BF056B" w:rsidRPr="00CC3507" w:rsidRDefault="00BF056B" w:rsidP="00BF056B">
      <w:pPr>
        <w:spacing w:after="120" w:line="240" w:lineRule="auto"/>
        <w:ind w:firstLine="567"/>
        <w:jc w:val="both"/>
        <w:rPr>
          <w:rFonts w:ascii="Times New Roman" w:eastAsia="Times New Roman" w:hAnsi="Times New Roman" w:cs="Times New Roman"/>
          <w:bCs/>
          <w:sz w:val="24"/>
          <w:szCs w:val="24"/>
          <w:lang w:val="en-US"/>
        </w:rPr>
      </w:pPr>
    </w:p>
    <w:p w:rsidR="00BF056B" w:rsidRPr="00CC3507" w:rsidRDefault="00BF056B" w:rsidP="00BF056B">
      <w:pPr>
        <w:spacing w:before="100" w:after="120" w:line="240" w:lineRule="auto"/>
        <w:jc w:val="center"/>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 xml:space="preserve">6. </w:t>
      </w:r>
      <w:r>
        <w:rPr>
          <w:rFonts w:ascii="Times New Roman" w:eastAsia="Times New Roman" w:hAnsi="Times New Roman" w:cs="Times New Roman"/>
          <w:bCs/>
          <w:sz w:val="24"/>
          <w:szCs w:val="24"/>
          <w:lang w:val="en-US"/>
        </w:rPr>
        <w:t>T</w:t>
      </w:r>
      <w:r w:rsidRPr="00CC3507">
        <w:rPr>
          <w:rFonts w:ascii="Times New Roman" w:eastAsia="Times New Roman" w:hAnsi="Times New Roman" w:cs="Times New Roman"/>
          <w:bCs/>
          <w:sz w:val="24"/>
          <w:szCs w:val="24"/>
          <w:lang w:val="en-US"/>
        </w:rPr>
        <w:t>echnologies</w:t>
      </w:r>
      <w:r>
        <w:rPr>
          <w:rFonts w:ascii="Times New Roman" w:eastAsia="Times New Roman" w:hAnsi="Times New Roman" w:cs="Times New Roman"/>
          <w:bCs/>
          <w:sz w:val="24"/>
          <w:szCs w:val="24"/>
          <w:lang w:val="en-US"/>
        </w:rPr>
        <w:t>`</w:t>
      </w:r>
      <w:r w:rsidRPr="00CC3507">
        <w:rPr>
          <w:rFonts w:ascii="Times New Roman" w:eastAsia="Times New Roman" w:hAnsi="Times New Roman" w:cs="Times New Roman"/>
          <w:bCs/>
          <w:sz w:val="24"/>
          <w:szCs w:val="24"/>
          <w:lang w:val="en-US"/>
        </w:rPr>
        <w:t xml:space="preserve"> and documents</w:t>
      </w:r>
      <w:r>
        <w:rPr>
          <w:rFonts w:ascii="Times New Roman" w:eastAsia="Times New Roman" w:hAnsi="Times New Roman" w:cs="Times New Roman"/>
          <w:bCs/>
          <w:sz w:val="24"/>
          <w:szCs w:val="24"/>
          <w:lang w:val="en-US"/>
        </w:rPr>
        <w:t>`</w:t>
      </w:r>
      <w:r w:rsidRPr="00CC3507">
        <w:rPr>
          <w:rFonts w:ascii="Times New Roman" w:eastAsia="Times New Roman" w:hAnsi="Times New Roman" w:cs="Times New Roman"/>
          <w:bCs/>
          <w:sz w:val="24"/>
          <w:szCs w:val="24"/>
          <w:lang w:val="en-US"/>
        </w:rPr>
        <w:t xml:space="preserve"> </w:t>
      </w:r>
      <w:proofErr w:type="gramStart"/>
      <w:r>
        <w:rPr>
          <w:rFonts w:ascii="Times New Roman" w:eastAsia="Times New Roman" w:hAnsi="Times New Roman" w:cs="Times New Roman"/>
          <w:bCs/>
          <w:sz w:val="24"/>
          <w:szCs w:val="24"/>
          <w:lang w:val="en-US"/>
        </w:rPr>
        <w:t>formation</w:t>
      </w:r>
      <w:r w:rsidRPr="00CC3507">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 xml:space="preserve"> </w:t>
      </w:r>
      <w:r w:rsidRPr="00CC3507">
        <w:rPr>
          <w:rFonts w:ascii="Times New Roman" w:eastAsia="Times New Roman" w:hAnsi="Times New Roman" w:cs="Times New Roman"/>
          <w:bCs/>
          <w:sz w:val="24"/>
          <w:szCs w:val="24"/>
          <w:lang w:val="en-US"/>
        </w:rPr>
        <w:t>required</w:t>
      </w:r>
      <w:proofErr w:type="gramEnd"/>
      <w:r w:rsidRPr="00CC3507">
        <w:rPr>
          <w:rFonts w:ascii="Times New Roman" w:eastAsia="Times New Roman" w:hAnsi="Times New Roman" w:cs="Times New Roman"/>
          <w:bCs/>
          <w:sz w:val="24"/>
          <w:szCs w:val="24"/>
          <w:lang w:val="en-US"/>
        </w:rPr>
        <w:t xml:space="preserve"> for functioning of the clearing brokers’ institution, introduction of General and Individual categories of clearing members.</w:t>
      </w:r>
    </w:p>
    <w:p w:rsidR="00BF056B" w:rsidRPr="00CC3507" w:rsidRDefault="00BF056B" w:rsidP="00BF056B">
      <w:pPr>
        <w:spacing w:after="120" w:line="240" w:lineRule="auto"/>
        <w:ind w:firstLine="567"/>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At the first stage only General clearing members will be able to perform functions of clearing brokers. Herewith there will be used a two level model of clearing service according to which four trades will be concluded in case of orders’ reconciliation placed by clients of clearing brokers:</w:t>
      </w:r>
    </w:p>
    <w:p w:rsidR="00BF056B" w:rsidRPr="00CC3507" w:rsidRDefault="00BF056B" w:rsidP="00BF056B">
      <w:pPr>
        <w:numPr>
          <w:ilvl w:val="0"/>
          <w:numId w:val="17"/>
        </w:numPr>
        <w:spacing w:after="0" w:line="240" w:lineRule="auto"/>
        <w:ind w:left="1134" w:hanging="425"/>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Between a client of a clearing broker – a seller and a seller’s clearing broker;</w:t>
      </w:r>
    </w:p>
    <w:p w:rsidR="00BF056B" w:rsidRPr="00CC3507" w:rsidRDefault="00BF056B" w:rsidP="00BF056B">
      <w:pPr>
        <w:numPr>
          <w:ilvl w:val="0"/>
          <w:numId w:val="17"/>
        </w:numPr>
        <w:spacing w:after="0" w:line="240" w:lineRule="auto"/>
        <w:ind w:left="1134" w:hanging="425"/>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Between a seller’s clearing broker and the central counterparty;</w:t>
      </w:r>
    </w:p>
    <w:p w:rsidR="00BF056B" w:rsidRPr="00CC3507" w:rsidRDefault="00BF056B" w:rsidP="00BF056B">
      <w:pPr>
        <w:numPr>
          <w:ilvl w:val="0"/>
          <w:numId w:val="17"/>
        </w:numPr>
        <w:spacing w:after="0" w:line="240" w:lineRule="auto"/>
        <w:ind w:left="1134" w:hanging="425"/>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 xml:space="preserve">Between a client of a clearing broker – a </w:t>
      </w:r>
      <w:r w:rsidR="002B1B7D">
        <w:rPr>
          <w:rFonts w:ascii="Times New Roman" w:eastAsia="Times New Roman" w:hAnsi="Times New Roman" w:cs="Times New Roman"/>
          <w:bCs/>
          <w:sz w:val="24"/>
          <w:szCs w:val="24"/>
          <w:lang w:val="en-US"/>
        </w:rPr>
        <w:t>buyer</w:t>
      </w:r>
      <w:r w:rsidRPr="00CC3507">
        <w:rPr>
          <w:rFonts w:ascii="Times New Roman" w:eastAsia="Times New Roman" w:hAnsi="Times New Roman" w:cs="Times New Roman"/>
          <w:bCs/>
          <w:sz w:val="24"/>
          <w:szCs w:val="24"/>
          <w:lang w:val="en-US"/>
        </w:rPr>
        <w:t xml:space="preserve"> and a </w:t>
      </w:r>
      <w:r w:rsidR="002B1B7D">
        <w:rPr>
          <w:rFonts w:ascii="Times New Roman" w:eastAsia="Times New Roman" w:hAnsi="Times New Roman" w:cs="Times New Roman"/>
          <w:bCs/>
          <w:sz w:val="24"/>
          <w:szCs w:val="24"/>
          <w:lang w:val="en-US"/>
        </w:rPr>
        <w:t>buyer</w:t>
      </w:r>
      <w:r w:rsidRPr="00CC3507">
        <w:rPr>
          <w:rFonts w:ascii="Times New Roman" w:eastAsia="Times New Roman" w:hAnsi="Times New Roman" w:cs="Times New Roman"/>
          <w:bCs/>
          <w:sz w:val="24"/>
          <w:szCs w:val="24"/>
          <w:lang w:val="en-US"/>
        </w:rPr>
        <w:t>’s clearing broker;</w:t>
      </w:r>
    </w:p>
    <w:p w:rsidR="00BF056B" w:rsidRPr="00CC3507" w:rsidRDefault="00BF056B" w:rsidP="00BF056B">
      <w:pPr>
        <w:numPr>
          <w:ilvl w:val="0"/>
          <w:numId w:val="17"/>
        </w:numPr>
        <w:spacing w:after="120" w:line="240" w:lineRule="auto"/>
        <w:ind w:left="1134" w:hanging="425"/>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 xml:space="preserve">Between a </w:t>
      </w:r>
      <w:r w:rsidR="002B1B7D">
        <w:rPr>
          <w:rFonts w:ascii="Times New Roman" w:eastAsia="Times New Roman" w:hAnsi="Times New Roman" w:cs="Times New Roman"/>
          <w:bCs/>
          <w:sz w:val="24"/>
          <w:szCs w:val="24"/>
          <w:lang w:val="en-US"/>
        </w:rPr>
        <w:t>buyer</w:t>
      </w:r>
      <w:r w:rsidRPr="00CC3507">
        <w:rPr>
          <w:rFonts w:ascii="Times New Roman" w:eastAsia="Times New Roman" w:hAnsi="Times New Roman" w:cs="Times New Roman"/>
          <w:bCs/>
          <w:sz w:val="24"/>
          <w:szCs w:val="24"/>
          <w:lang w:val="en-US"/>
        </w:rPr>
        <w:t>’s clearing broker and the central counterparty;</w:t>
      </w:r>
    </w:p>
    <w:p w:rsidR="00BF056B" w:rsidRPr="00CC3507" w:rsidRDefault="00BF056B" w:rsidP="00BF056B">
      <w:pPr>
        <w:spacing w:after="120" w:line="240" w:lineRule="auto"/>
        <w:ind w:firstLine="567"/>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General clearing members will receive from NCC clearing services under their own trades, the trades concluded at their clients’ expense as well as under the trades concluded based on the order of other trading members. Individual clearing members will receive clearing services under their own trades only and under the trades concluded on behalf and/or at their clients’ expense. Therefore possibility to render services to trading members who are not clearing members and to clearing members, who are not trading members, will be implemented.</w:t>
      </w:r>
    </w:p>
    <w:p w:rsidR="00BF056B" w:rsidRPr="00CC3507" w:rsidRDefault="00BF056B" w:rsidP="00BF056B">
      <w:pPr>
        <w:spacing w:after="120" w:line="240" w:lineRule="auto"/>
        <w:ind w:firstLine="567"/>
        <w:jc w:val="both"/>
        <w:rPr>
          <w:rFonts w:ascii="Times New Roman" w:eastAsia="Times New Roman" w:hAnsi="Times New Roman" w:cs="Times New Roman"/>
          <w:bCs/>
          <w:sz w:val="24"/>
          <w:szCs w:val="24"/>
          <w:lang w:val="en-US"/>
        </w:rPr>
      </w:pPr>
    </w:p>
    <w:p w:rsidR="00BF056B" w:rsidRPr="00CC3507" w:rsidRDefault="00BF056B" w:rsidP="00BF056B">
      <w:pPr>
        <w:spacing w:after="120" w:line="240" w:lineRule="auto"/>
        <w:ind w:firstLine="567"/>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 xml:space="preserve">At the second stage it is planned to finalize the system of two level clearing </w:t>
      </w:r>
      <w:proofErr w:type="gramStart"/>
      <w:r w:rsidRPr="00CC3507">
        <w:rPr>
          <w:rFonts w:ascii="Times New Roman" w:eastAsia="Times New Roman" w:hAnsi="Times New Roman" w:cs="Times New Roman"/>
          <w:bCs/>
          <w:sz w:val="24"/>
          <w:szCs w:val="24"/>
          <w:lang w:val="en-US"/>
        </w:rPr>
        <w:t>membership</w:t>
      </w:r>
      <w:proofErr w:type="gramEnd"/>
      <w:r w:rsidRPr="00CC3507">
        <w:rPr>
          <w:rFonts w:ascii="Times New Roman" w:eastAsia="Times New Roman" w:hAnsi="Times New Roman" w:cs="Times New Roman"/>
          <w:bCs/>
          <w:sz w:val="24"/>
          <w:szCs w:val="24"/>
          <w:lang w:val="en-US"/>
        </w:rPr>
        <w:t>, to increase requirements to General clearing members and to reduce their number.</w:t>
      </w:r>
    </w:p>
    <w:p w:rsidR="00BF056B" w:rsidRPr="00CC3507" w:rsidRDefault="00BF056B" w:rsidP="00BF056B">
      <w:pPr>
        <w:spacing w:after="120" w:line="240" w:lineRule="auto"/>
        <w:ind w:firstLine="567"/>
        <w:jc w:val="both"/>
        <w:rPr>
          <w:rFonts w:ascii="Times New Roman" w:eastAsia="Times New Roman" w:hAnsi="Times New Roman" w:cs="Times New Roman"/>
          <w:bCs/>
          <w:sz w:val="24"/>
          <w:szCs w:val="24"/>
          <w:lang w:val="en-US"/>
        </w:rPr>
      </w:pPr>
    </w:p>
    <w:p w:rsidR="00BF056B" w:rsidRPr="00CC3507" w:rsidRDefault="00BF056B" w:rsidP="00BF056B">
      <w:pPr>
        <w:spacing w:after="120" w:line="240" w:lineRule="auto"/>
        <w:ind w:firstLine="567"/>
        <w:jc w:val="both"/>
        <w:rPr>
          <w:rFonts w:ascii="Times New Roman" w:eastAsia="Times New Roman" w:hAnsi="Times New Roman" w:cs="Times New Roman"/>
          <w:b/>
          <w:bCs/>
          <w:sz w:val="24"/>
          <w:szCs w:val="24"/>
          <w:lang w:val="en-US"/>
        </w:rPr>
      </w:pPr>
      <w:r w:rsidRPr="00CC3507">
        <w:rPr>
          <w:rFonts w:ascii="Times New Roman" w:eastAsia="Times New Roman" w:hAnsi="Times New Roman" w:cs="Times New Roman"/>
          <w:b/>
          <w:bCs/>
          <w:sz w:val="24"/>
          <w:szCs w:val="24"/>
          <w:lang w:val="en-US"/>
        </w:rPr>
        <w:t xml:space="preserve">II. Implementation of settlements based on the clearing results in the securities market before trades are </w:t>
      </w:r>
      <w:r w:rsidR="002F2EC0">
        <w:rPr>
          <w:rFonts w:ascii="Times New Roman" w:eastAsia="Times New Roman" w:hAnsi="Times New Roman" w:cs="Times New Roman"/>
          <w:b/>
          <w:bCs/>
          <w:sz w:val="24"/>
          <w:szCs w:val="24"/>
          <w:lang w:val="en-US"/>
        </w:rPr>
        <w:t>closed</w:t>
      </w:r>
    </w:p>
    <w:p w:rsidR="00BF056B" w:rsidRPr="00CC3507" w:rsidRDefault="00BF056B" w:rsidP="00BF056B">
      <w:pPr>
        <w:spacing w:after="120" w:line="240" w:lineRule="auto"/>
        <w:ind w:firstLine="567"/>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 xml:space="preserve">Implementation of settlements based on the clearing results in the securities market before trades are </w:t>
      </w:r>
      <w:r w:rsidR="002F2EC0">
        <w:rPr>
          <w:rFonts w:ascii="Times New Roman" w:eastAsia="Times New Roman" w:hAnsi="Times New Roman" w:cs="Times New Roman"/>
          <w:bCs/>
          <w:sz w:val="24"/>
          <w:szCs w:val="24"/>
          <w:lang w:val="en-US"/>
        </w:rPr>
        <w:t>closed</w:t>
      </w:r>
      <w:r w:rsidRPr="00CC3507">
        <w:rPr>
          <w:rFonts w:ascii="Times New Roman" w:eastAsia="Times New Roman" w:hAnsi="Times New Roman" w:cs="Times New Roman"/>
          <w:bCs/>
          <w:sz w:val="24"/>
          <w:szCs w:val="24"/>
          <w:lang w:val="en-US"/>
        </w:rPr>
        <w:t xml:space="preserve"> is an important project among the priority tasks which are aimed at improv</w:t>
      </w:r>
      <w:r w:rsidR="002F2EC0">
        <w:rPr>
          <w:rFonts w:ascii="Times New Roman" w:eastAsia="Times New Roman" w:hAnsi="Times New Roman" w:cs="Times New Roman"/>
          <w:bCs/>
          <w:sz w:val="24"/>
          <w:szCs w:val="24"/>
          <w:lang w:val="en-US"/>
        </w:rPr>
        <w:t xml:space="preserve">ing </w:t>
      </w:r>
      <w:r w:rsidRPr="00CC3507">
        <w:rPr>
          <w:rFonts w:ascii="Times New Roman" w:eastAsia="Times New Roman" w:hAnsi="Times New Roman" w:cs="Times New Roman"/>
          <w:bCs/>
          <w:sz w:val="24"/>
          <w:szCs w:val="24"/>
          <w:lang w:val="en-US"/>
        </w:rPr>
        <w:t>current clearing services and client’s convenience.</w:t>
      </w:r>
    </w:p>
    <w:p w:rsidR="00BF056B" w:rsidRPr="00CC3507" w:rsidRDefault="00BF056B" w:rsidP="00BF056B">
      <w:pPr>
        <w:spacing w:after="120" w:line="240" w:lineRule="auto"/>
        <w:ind w:firstLine="567"/>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 xml:space="preserve">Additional settlement session will be held from 16.00 to 17.00. During the session T+ trades settlements will be carried out including the first and the second part of REPO trades with the CCP as well as T0 trades and the first parts of </w:t>
      </w:r>
      <w:proofErr w:type="spellStart"/>
      <w:r w:rsidRPr="00CC3507">
        <w:rPr>
          <w:rFonts w:ascii="Times New Roman" w:eastAsia="Times New Roman" w:hAnsi="Times New Roman" w:cs="Times New Roman"/>
          <w:bCs/>
          <w:sz w:val="24"/>
          <w:szCs w:val="24"/>
          <w:lang w:val="en-US"/>
        </w:rPr>
        <w:t>Rb</w:t>
      </w:r>
      <w:proofErr w:type="spellEnd"/>
      <w:r w:rsidRPr="00CC3507">
        <w:rPr>
          <w:rFonts w:ascii="Times New Roman" w:eastAsia="Times New Roman" w:hAnsi="Times New Roman" w:cs="Times New Roman"/>
          <w:bCs/>
          <w:sz w:val="24"/>
          <w:szCs w:val="24"/>
          <w:lang w:val="en-US"/>
        </w:rPr>
        <w:t xml:space="preserve"> trades settlements with the arrived execution date and concluded before 16.00. It will also cover REPO trades without the CCP and negotiated trades mode trades, </w:t>
      </w:r>
      <w:r w:rsidR="002F2EC0">
        <w:rPr>
          <w:rFonts w:ascii="Times New Roman" w:eastAsia="Times New Roman" w:hAnsi="Times New Roman" w:cs="Times New Roman"/>
          <w:bCs/>
          <w:sz w:val="24"/>
          <w:szCs w:val="24"/>
          <w:lang w:val="en-US"/>
        </w:rPr>
        <w:t xml:space="preserve">statements </w:t>
      </w:r>
      <w:r w:rsidRPr="00CC3507">
        <w:rPr>
          <w:rFonts w:ascii="Times New Roman" w:eastAsia="Times New Roman" w:hAnsi="Times New Roman" w:cs="Times New Roman"/>
          <w:bCs/>
          <w:sz w:val="24"/>
          <w:szCs w:val="24"/>
          <w:lang w:val="en-US"/>
        </w:rPr>
        <w:t>for which (ordinary and special) were placed and reconciled before 16.00. Additional settlement session will be carried out without trades stopping.</w:t>
      </w:r>
    </w:p>
    <w:p w:rsidR="00BF056B" w:rsidRPr="00CC3507" w:rsidRDefault="00BF056B" w:rsidP="00BF056B">
      <w:pPr>
        <w:spacing w:after="120" w:line="240" w:lineRule="auto"/>
        <w:ind w:firstLine="567"/>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Additional settlement session will enable clearing members to withdraw securities after 17.00 received from T+ and REPO with the CCP trades and use them for settlement under other trades at the execution date of obligations’ fulfillment under T+ and REPO with the CCP trades (not the following day as before). Clearing members will also have the following possibilities</w:t>
      </w:r>
      <w:r w:rsidRPr="007D46CA">
        <w:rPr>
          <w:rFonts w:ascii="Times New Roman" w:eastAsia="Times New Roman" w:hAnsi="Times New Roman" w:cs="Times New Roman"/>
          <w:bCs/>
          <w:sz w:val="24"/>
          <w:szCs w:val="24"/>
          <w:lang w:val="en-US"/>
        </w:rPr>
        <w:t>:</w:t>
      </w:r>
    </w:p>
    <w:p w:rsidR="00BF056B" w:rsidRPr="00CC3507" w:rsidRDefault="00BF056B" w:rsidP="00BF056B">
      <w:pPr>
        <w:numPr>
          <w:ilvl w:val="0"/>
          <w:numId w:val="18"/>
        </w:numPr>
        <w:spacing w:after="120" w:line="240" w:lineRule="auto"/>
        <w:ind w:left="1134" w:hanging="425"/>
        <w:jc w:val="both"/>
        <w:rPr>
          <w:rFonts w:ascii="Times New Roman" w:eastAsia="Times New Roman" w:hAnsi="Times New Roman" w:cs="Times New Roman"/>
          <w:bCs/>
          <w:sz w:val="24"/>
          <w:szCs w:val="24"/>
          <w:lang w:val="en-US"/>
        </w:rPr>
      </w:pPr>
      <w:proofErr w:type="gramStart"/>
      <w:r w:rsidRPr="00CC3507">
        <w:rPr>
          <w:rFonts w:ascii="Times New Roman" w:eastAsia="Times New Roman" w:hAnsi="Times New Roman" w:cs="Times New Roman"/>
          <w:bCs/>
          <w:sz w:val="24"/>
          <w:szCs w:val="24"/>
          <w:lang w:val="en-US"/>
        </w:rPr>
        <w:t>early</w:t>
      </w:r>
      <w:proofErr w:type="gramEnd"/>
      <w:r w:rsidRPr="00CC3507">
        <w:rPr>
          <w:rFonts w:ascii="Times New Roman" w:eastAsia="Times New Roman" w:hAnsi="Times New Roman" w:cs="Times New Roman"/>
          <w:bCs/>
          <w:sz w:val="24"/>
          <w:szCs w:val="24"/>
          <w:lang w:val="en-US"/>
        </w:rPr>
        <w:t xml:space="preserve"> execution of address T+ trades (respective parts of REPO with the CCP address trades) by placing ordinary, special or urgent </w:t>
      </w:r>
      <w:r w:rsidR="002F2EC0">
        <w:rPr>
          <w:rFonts w:ascii="Times New Roman" w:eastAsia="Times New Roman" w:hAnsi="Times New Roman" w:cs="Times New Roman"/>
          <w:bCs/>
          <w:sz w:val="24"/>
          <w:szCs w:val="24"/>
          <w:lang w:val="en-US"/>
        </w:rPr>
        <w:t>statements</w:t>
      </w:r>
      <w:r w:rsidRPr="00CC3507">
        <w:rPr>
          <w:rFonts w:ascii="Times New Roman" w:eastAsia="Times New Roman" w:hAnsi="Times New Roman" w:cs="Times New Roman"/>
          <w:bCs/>
          <w:sz w:val="24"/>
          <w:szCs w:val="24"/>
          <w:lang w:val="en-US"/>
        </w:rPr>
        <w:t xml:space="preserve"> for execution. Herewith special and urgent </w:t>
      </w:r>
      <w:r w:rsidR="002F2EC0">
        <w:rPr>
          <w:rFonts w:ascii="Times New Roman" w:eastAsia="Times New Roman" w:hAnsi="Times New Roman" w:cs="Times New Roman"/>
          <w:bCs/>
          <w:sz w:val="24"/>
          <w:szCs w:val="24"/>
          <w:lang w:val="en-US"/>
        </w:rPr>
        <w:t>statement</w:t>
      </w:r>
      <w:r w:rsidRPr="00CC3507">
        <w:rPr>
          <w:rFonts w:ascii="Times New Roman" w:eastAsia="Times New Roman" w:hAnsi="Times New Roman" w:cs="Times New Roman"/>
          <w:bCs/>
          <w:sz w:val="24"/>
          <w:szCs w:val="24"/>
          <w:lang w:val="en-US"/>
        </w:rPr>
        <w:t xml:space="preserve">s can include T+ and REPO with the CCP trades along with the other trades. Upon urgent </w:t>
      </w:r>
      <w:r w:rsidR="002F2EC0">
        <w:rPr>
          <w:rFonts w:ascii="Times New Roman" w:eastAsia="Times New Roman" w:hAnsi="Times New Roman" w:cs="Times New Roman"/>
          <w:bCs/>
          <w:sz w:val="24"/>
          <w:szCs w:val="24"/>
          <w:lang w:val="en-US"/>
        </w:rPr>
        <w:t>st</w:t>
      </w:r>
      <w:r w:rsidR="003415E8">
        <w:rPr>
          <w:rFonts w:ascii="Times New Roman" w:eastAsia="Times New Roman" w:hAnsi="Times New Roman" w:cs="Times New Roman"/>
          <w:bCs/>
          <w:sz w:val="24"/>
          <w:szCs w:val="24"/>
          <w:lang w:val="en-US"/>
        </w:rPr>
        <w:t>a</w:t>
      </w:r>
      <w:r w:rsidR="002F2EC0">
        <w:rPr>
          <w:rFonts w:ascii="Times New Roman" w:eastAsia="Times New Roman" w:hAnsi="Times New Roman" w:cs="Times New Roman"/>
          <w:bCs/>
          <w:sz w:val="24"/>
          <w:szCs w:val="24"/>
          <w:lang w:val="en-US"/>
        </w:rPr>
        <w:t>tements</w:t>
      </w:r>
      <w:r w:rsidRPr="00CC3507">
        <w:rPr>
          <w:rFonts w:ascii="Times New Roman" w:eastAsia="Times New Roman" w:hAnsi="Times New Roman" w:cs="Times New Roman"/>
          <w:bCs/>
          <w:sz w:val="24"/>
          <w:szCs w:val="24"/>
          <w:lang w:val="en-US"/>
        </w:rPr>
        <w:t xml:space="preserve"> for execution Non-profit organization CJSC National Settlement Depository will perform funds and securities settlements. This will enable members upon consent with the counterparty to shorten the settlement term and to withdraw funds and securities received from address T+ and REPO with the CCP trades starting from 10 a.m. on the day of execution;</w:t>
      </w:r>
    </w:p>
    <w:p w:rsidR="00BF056B" w:rsidRPr="00CC3507" w:rsidRDefault="00BF056B" w:rsidP="00BF056B">
      <w:pPr>
        <w:numPr>
          <w:ilvl w:val="0"/>
          <w:numId w:val="18"/>
        </w:numPr>
        <w:spacing w:after="120" w:line="240" w:lineRule="auto"/>
        <w:ind w:left="1134" w:hanging="425"/>
        <w:jc w:val="both"/>
        <w:rPr>
          <w:rFonts w:ascii="Times New Roman" w:eastAsia="Times New Roman" w:hAnsi="Times New Roman" w:cs="Times New Roman"/>
          <w:bCs/>
          <w:sz w:val="24"/>
          <w:szCs w:val="24"/>
          <w:lang w:val="en-US"/>
        </w:rPr>
      </w:pPr>
      <w:proofErr w:type="gramStart"/>
      <w:r w:rsidRPr="00CC3507">
        <w:rPr>
          <w:rFonts w:ascii="Times New Roman" w:eastAsia="Times New Roman" w:hAnsi="Times New Roman" w:cs="Times New Roman"/>
          <w:bCs/>
          <w:sz w:val="24"/>
          <w:szCs w:val="24"/>
          <w:lang w:val="en-US"/>
        </w:rPr>
        <w:t>conclusion</w:t>
      </w:r>
      <w:proofErr w:type="gramEnd"/>
      <w:r w:rsidRPr="00CC3507">
        <w:rPr>
          <w:rFonts w:ascii="Times New Roman" w:eastAsia="Times New Roman" w:hAnsi="Times New Roman" w:cs="Times New Roman"/>
          <w:bCs/>
          <w:sz w:val="24"/>
          <w:szCs w:val="24"/>
          <w:lang w:val="en-US"/>
        </w:rPr>
        <w:t xml:space="preserve"> of REPO with the CCP trades with settlements’ code for the first part Y0 after 16.00 that will enable members to manage liquidity more efficiently due to time increase for conclusion of address and non-address REPO with the CCP trades.</w:t>
      </w:r>
    </w:p>
    <w:p w:rsidR="00BF056B" w:rsidRPr="00CC3507" w:rsidRDefault="00BF056B" w:rsidP="00BF056B">
      <w:pPr>
        <w:spacing w:after="120" w:line="240" w:lineRule="auto"/>
        <w:ind w:firstLine="567"/>
        <w:jc w:val="both"/>
        <w:rPr>
          <w:rFonts w:ascii="Times New Roman" w:eastAsia="Times New Roman" w:hAnsi="Times New Roman" w:cs="Times New Roman"/>
          <w:bCs/>
          <w:sz w:val="24"/>
          <w:szCs w:val="24"/>
          <w:lang w:val="en-US"/>
        </w:rPr>
      </w:pPr>
    </w:p>
    <w:p w:rsidR="00BF056B" w:rsidRPr="00CC3507" w:rsidRDefault="00BF056B" w:rsidP="00BF056B">
      <w:pPr>
        <w:spacing w:before="100" w:after="120" w:line="240" w:lineRule="auto"/>
        <w:jc w:val="center"/>
        <w:rPr>
          <w:rFonts w:ascii="Times New Roman" w:eastAsia="Times New Roman" w:hAnsi="Times New Roman" w:cs="Times New Roman"/>
          <w:b/>
          <w:bCs/>
          <w:sz w:val="24"/>
          <w:szCs w:val="24"/>
          <w:lang w:val="en-US"/>
        </w:rPr>
      </w:pPr>
      <w:r w:rsidRPr="00CC3507">
        <w:rPr>
          <w:rFonts w:ascii="Times New Roman" w:eastAsia="Times New Roman" w:hAnsi="Times New Roman" w:cs="Times New Roman"/>
          <w:b/>
          <w:bCs/>
          <w:sz w:val="24"/>
          <w:szCs w:val="24"/>
          <w:lang w:val="en-US"/>
        </w:rPr>
        <w:t>III. Development of clearing in the commodities markets</w:t>
      </w:r>
    </w:p>
    <w:p w:rsidR="00BF056B" w:rsidRPr="00CC3507" w:rsidRDefault="00BF056B" w:rsidP="00BF056B">
      <w:pPr>
        <w:spacing w:after="120" w:line="240" w:lineRule="auto"/>
        <w:ind w:firstLine="567"/>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 xml:space="preserve">In 2014 it is planned to further develop clearing on spot trades concluded with Moscow International Commodity Energy Exchange, OJSC, as well as spot and </w:t>
      </w:r>
      <w:r w:rsidR="007A3FCB">
        <w:rPr>
          <w:rFonts w:ascii="Times New Roman" w:eastAsia="Times New Roman" w:hAnsi="Times New Roman" w:cs="Times New Roman"/>
          <w:bCs/>
          <w:sz w:val="24"/>
          <w:szCs w:val="24"/>
          <w:lang w:val="en-US"/>
        </w:rPr>
        <w:t>derivatives</w:t>
      </w:r>
      <w:r w:rsidRPr="00CC3507">
        <w:rPr>
          <w:rFonts w:ascii="Times New Roman" w:eastAsia="Times New Roman" w:hAnsi="Times New Roman" w:cs="Times New Roman"/>
          <w:bCs/>
          <w:sz w:val="24"/>
          <w:szCs w:val="24"/>
          <w:lang w:val="en-US"/>
        </w:rPr>
        <w:t xml:space="preserve"> trades on commodity assets (primarily – grains) concluded with National Commodity Exchange</w:t>
      </w:r>
      <w:r w:rsidR="00DA578F" w:rsidRPr="00DA578F">
        <w:rPr>
          <w:rFonts w:ascii="Times New Roman" w:eastAsia="Times New Roman" w:hAnsi="Times New Roman" w:cs="Times New Roman"/>
          <w:bCs/>
          <w:sz w:val="24"/>
          <w:szCs w:val="24"/>
          <w:lang w:val="en-US"/>
        </w:rPr>
        <w:t>.</w:t>
      </w:r>
    </w:p>
    <w:p w:rsidR="00BF056B" w:rsidRPr="00CC3507" w:rsidRDefault="00BF056B" w:rsidP="00BF056B">
      <w:pPr>
        <w:spacing w:after="120" w:line="240" w:lineRule="auto"/>
        <w:ind w:firstLine="567"/>
        <w:jc w:val="both"/>
        <w:rPr>
          <w:rFonts w:ascii="Times New Roman" w:eastAsiaTheme="minorEastAsia" w:hAnsi="Times New Roman" w:cs="Times New Roman"/>
          <w:sz w:val="24"/>
          <w:szCs w:val="24"/>
          <w:lang w:val="en-US"/>
        </w:rPr>
      </w:pPr>
      <w:r w:rsidRPr="00CC3507">
        <w:rPr>
          <w:rFonts w:ascii="Times New Roman" w:eastAsia="Times New Roman" w:hAnsi="Times New Roman" w:cs="Times New Roman"/>
          <w:bCs/>
          <w:sz w:val="24"/>
          <w:szCs w:val="24"/>
          <w:lang w:val="en-US"/>
        </w:rPr>
        <w:t xml:space="preserve">In 2014 it is planned to implement </w:t>
      </w:r>
      <w:r w:rsidRPr="00CC3507">
        <w:rPr>
          <w:rFonts w:ascii="Times New Roman" w:eastAsiaTheme="minorEastAsia" w:hAnsi="Times New Roman" w:cs="Times New Roman"/>
          <w:sz w:val="24"/>
          <w:szCs w:val="24"/>
          <w:lang w:val="en-US"/>
        </w:rPr>
        <w:t>clearing of deliverable futures contracts on grains, legumes and crops traded on National Commodity Exchange, NCC will perform the functions of a clearing institution and the central counterparty in this organized commodity market. Orders placing and trades conclusion will be possible only with partial collateral. The fulfillment of payment obligations for the commodities will be carried out through the NCC's clearing bank account in NPO CJSC NSD.</w:t>
      </w:r>
    </w:p>
    <w:p w:rsidR="00BF056B" w:rsidRPr="00CC3507" w:rsidRDefault="00BF056B" w:rsidP="00BF056B">
      <w:pPr>
        <w:spacing w:after="120" w:line="240" w:lineRule="auto"/>
        <w:ind w:firstLine="567"/>
        <w:jc w:val="both"/>
        <w:rPr>
          <w:rFonts w:ascii="Times New Roman" w:eastAsiaTheme="minorEastAsia" w:hAnsi="Times New Roman" w:cs="Times New Roman"/>
          <w:sz w:val="24"/>
          <w:szCs w:val="24"/>
          <w:lang w:val="en-US"/>
        </w:rPr>
      </w:pPr>
    </w:p>
    <w:p w:rsidR="00BF056B" w:rsidRPr="00CC3507" w:rsidRDefault="00BF056B" w:rsidP="00BF056B">
      <w:pPr>
        <w:spacing w:before="100" w:after="240" w:line="240" w:lineRule="auto"/>
        <w:jc w:val="center"/>
        <w:rPr>
          <w:rFonts w:ascii="Times New Roman" w:eastAsia="Times New Roman" w:hAnsi="Times New Roman" w:cs="Times New Roman"/>
          <w:b/>
          <w:bCs/>
          <w:sz w:val="24"/>
          <w:szCs w:val="24"/>
          <w:lang w:val="en-US"/>
        </w:rPr>
      </w:pPr>
      <w:r w:rsidRPr="00CC3507">
        <w:rPr>
          <w:rFonts w:ascii="Times New Roman" w:eastAsia="Times New Roman" w:hAnsi="Times New Roman" w:cs="Times New Roman"/>
          <w:b/>
          <w:bCs/>
          <w:sz w:val="24"/>
          <w:szCs w:val="24"/>
          <w:lang w:val="en-US"/>
        </w:rPr>
        <w:t xml:space="preserve">IV. Development of the market for standardized </w:t>
      </w:r>
      <w:proofErr w:type="spellStart"/>
      <w:r w:rsidR="00AF0CF3">
        <w:rPr>
          <w:rFonts w:ascii="Times New Roman" w:eastAsia="Times New Roman" w:hAnsi="Times New Roman" w:cs="Times New Roman"/>
          <w:b/>
          <w:bCs/>
          <w:sz w:val="24"/>
          <w:szCs w:val="24"/>
          <w:lang w:val="en-US"/>
        </w:rPr>
        <w:t>D</w:t>
      </w:r>
      <w:r w:rsidRPr="00CC3507">
        <w:rPr>
          <w:rFonts w:ascii="Times New Roman" w:eastAsia="Times New Roman" w:hAnsi="Times New Roman" w:cs="Times New Roman"/>
          <w:b/>
          <w:bCs/>
          <w:sz w:val="24"/>
          <w:szCs w:val="24"/>
          <w:lang w:val="en-US"/>
        </w:rPr>
        <w:t>Is.</w:t>
      </w:r>
      <w:proofErr w:type="spellEnd"/>
    </w:p>
    <w:p w:rsidR="00BF056B" w:rsidRPr="00CC3507" w:rsidRDefault="00BF056B" w:rsidP="00BF056B">
      <w:pPr>
        <w:spacing w:after="240" w:line="240" w:lineRule="auto"/>
        <w:ind w:firstLine="567"/>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The following measures shall be taken in 2014</w:t>
      </w:r>
      <w:r w:rsidR="00DA0D0B">
        <w:rPr>
          <w:rFonts w:ascii="Times New Roman" w:eastAsia="Times New Roman" w:hAnsi="Times New Roman" w:cs="Times New Roman"/>
          <w:bCs/>
          <w:sz w:val="24"/>
          <w:szCs w:val="24"/>
          <w:lang w:val="en-US"/>
        </w:rPr>
        <w:t xml:space="preserve"> in the market of standardized </w:t>
      </w:r>
      <w:r w:rsidR="00AF0CF3">
        <w:rPr>
          <w:rFonts w:ascii="Times New Roman" w:eastAsia="Times New Roman" w:hAnsi="Times New Roman" w:cs="Times New Roman"/>
          <w:bCs/>
          <w:sz w:val="24"/>
          <w:szCs w:val="24"/>
          <w:lang w:val="en-US"/>
        </w:rPr>
        <w:t>D</w:t>
      </w:r>
      <w:r w:rsidRPr="00CC3507">
        <w:rPr>
          <w:rFonts w:ascii="Times New Roman" w:eastAsia="Times New Roman" w:hAnsi="Times New Roman" w:cs="Times New Roman"/>
          <w:bCs/>
          <w:sz w:val="24"/>
          <w:szCs w:val="24"/>
          <w:lang w:val="en-US"/>
        </w:rPr>
        <w:t>Is:</w:t>
      </w:r>
    </w:p>
    <w:p w:rsidR="00BF056B" w:rsidRPr="00CC3507" w:rsidRDefault="00BF056B" w:rsidP="00BF056B">
      <w:pPr>
        <w:spacing w:after="240" w:line="240" w:lineRule="auto"/>
        <w:ind w:firstLine="567"/>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 xml:space="preserve">1. Development and implementation of a new clearing model </w:t>
      </w:r>
      <w:r w:rsidRPr="00DA09E2">
        <w:rPr>
          <w:rFonts w:ascii="Times New Roman" w:eastAsia="Times New Roman" w:hAnsi="Times New Roman" w:cs="Times New Roman"/>
          <w:bCs/>
          <w:sz w:val="24"/>
          <w:szCs w:val="24"/>
          <w:lang w:val="en-US"/>
        </w:rPr>
        <w:t xml:space="preserve">in order </w:t>
      </w:r>
      <w:r w:rsidRPr="00CC3507">
        <w:rPr>
          <w:rFonts w:ascii="Times New Roman" w:eastAsia="Times New Roman" w:hAnsi="Times New Roman" w:cs="Times New Roman"/>
          <w:bCs/>
          <w:sz w:val="24"/>
          <w:szCs w:val="24"/>
          <w:lang w:val="en-US"/>
        </w:rPr>
        <w:t>to attract new members – corporations as a source of primary demand for interest rate and exchange interest rates derivatives (approved by a new edition of the Clearing Rules):</w:t>
      </w:r>
    </w:p>
    <w:p w:rsidR="00BF056B" w:rsidRPr="00CC3507" w:rsidRDefault="00BF056B" w:rsidP="00BF056B">
      <w:pPr>
        <w:numPr>
          <w:ilvl w:val="0"/>
          <w:numId w:val="19"/>
        </w:numPr>
        <w:spacing w:after="0" w:line="240" w:lineRule="auto"/>
        <w:ind w:left="1134" w:hanging="425"/>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division of statuses of trading members and clearing members;</w:t>
      </w:r>
    </w:p>
    <w:p w:rsidR="00BF056B" w:rsidRPr="00CC3507" w:rsidRDefault="00BF056B" w:rsidP="00BF056B">
      <w:pPr>
        <w:numPr>
          <w:ilvl w:val="0"/>
          <w:numId w:val="19"/>
        </w:numPr>
        <w:spacing w:after="0" w:line="240" w:lineRule="auto"/>
        <w:ind w:left="1134" w:hanging="425"/>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implementation of clearing members categories;</w:t>
      </w:r>
    </w:p>
    <w:p w:rsidR="00BF056B" w:rsidRPr="00CC3507" w:rsidRDefault="00BF056B" w:rsidP="00BF056B">
      <w:pPr>
        <w:numPr>
          <w:ilvl w:val="0"/>
          <w:numId w:val="19"/>
        </w:numPr>
        <w:spacing w:after="240" w:line="240" w:lineRule="auto"/>
        <w:ind w:left="1134" w:hanging="425"/>
        <w:jc w:val="both"/>
        <w:rPr>
          <w:rFonts w:ascii="Times New Roman" w:eastAsia="Times New Roman" w:hAnsi="Times New Roman" w:cs="Times New Roman"/>
          <w:bCs/>
          <w:sz w:val="24"/>
          <w:szCs w:val="24"/>
          <w:lang w:val="en-US"/>
        </w:rPr>
      </w:pPr>
      <w:proofErr w:type="gramStart"/>
      <w:r w:rsidRPr="00CC3507">
        <w:rPr>
          <w:rFonts w:ascii="Times New Roman" w:eastAsia="Times New Roman" w:hAnsi="Times New Roman" w:cs="Times New Roman"/>
          <w:bCs/>
          <w:sz w:val="24"/>
          <w:szCs w:val="24"/>
          <w:lang w:val="en-US"/>
        </w:rPr>
        <w:t>implementation</w:t>
      </w:r>
      <w:proofErr w:type="gramEnd"/>
      <w:r w:rsidRPr="00CC3507">
        <w:rPr>
          <w:rFonts w:ascii="Times New Roman" w:eastAsia="Times New Roman" w:hAnsi="Times New Roman" w:cs="Times New Roman"/>
          <w:bCs/>
          <w:sz w:val="24"/>
          <w:szCs w:val="24"/>
          <w:lang w:val="en-US"/>
        </w:rPr>
        <w:t xml:space="preserve"> of a clearing scheme conforming to the international practice.</w:t>
      </w:r>
    </w:p>
    <w:p w:rsidR="00BF056B" w:rsidRPr="00CC3507" w:rsidRDefault="00BF056B" w:rsidP="00BF056B">
      <w:pPr>
        <w:spacing w:after="240" w:line="240" w:lineRule="auto"/>
        <w:ind w:firstLine="567"/>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2. Introduction of possibilities to perform obligations</w:t>
      </w:r>
      <w:r w:rsidR="00951249">
        <w:rPr>
          <w:rFonts w:ascii="Times New Roman" w:eastAsia="Times New Roman" w:hAnsi="Times New Roman" w:cs="Times New Roman"/>
          <w:bCs/>
          <w:sz w:val="24"/>
          <w:szCs w:val="24"/>
          <w:lang w:val="en-US"/>
        </w:rPr>
        <w:t>’</w:t>
      </w:r>
      <w:r w:rsidRPr="00CC3507">
        <w:rPr>
          <w:rFonts w:ascii="Times New Roman" w:eastAsia="Times New Roman" w:hAnsi="Times New Roman" w:cs="Times New Roman"/>
          <w:bCs/>
          <w:sz w:val="24"/>
          <w:szCs w:val="24"/>
          <w:lang w:val="en-US"/>
        </w:rPr>
        <w:t xml:space="preserve"> settlements on the instruments in Chinese Yuan and other foreign currencies in order to expand the range of available contracts – opening of NCC clearing accounts, acceptance of foreign currencies to collateral.</w:t>
      </w:r>
    </w:p>
    <w:p w:rsidR="00BF056B" w:rsidRPr="00CC3507" w:rsidRDefault="00BF056B" w:rsidP="00BF056B">
      <w:pPr>
        <w:spacing w:after="240" w:line="240" w:lineRule="auto"/>
        <w:ind w:firstLine="567"/>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3. Implementation of non-address mode (pool) for Overnight Index Swap trades as a means of liquidity concentration.</w:t>
      </w:r>
    </w:p>
    <w:p w:rsidR="00BF056B" w:rsidRPr="00CC3507" w:rsidRDefault="00BF056B" w:rsidP="00BF056B">
      <w:pPr>
        <w:spacing w:after="240" w:line="240" w:lineRule="auto"/>
        <w:ind w:firstLine="567"/>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4. Development of schemes and implementation of clearing for FLEX currency options.</w:t>
      </w:r>
    </w:p>
    <w:p w:rsidR="00BF056B" w:rsidRPr="00CC3507" w:rsidRDefault="00BF056B" w:rsidP="00BF056B">
      <w:pPr>
        <w:spacing w:after="240" w:line="240" w:lineRule="auto"/>
        <w:ind w:firstLine="567"/>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5. Continuation of cooperation with NSD under the “collateral management" project within integration to other infrastructural components of the Group.</w:t>
      </w:r>
    </w:p>
    <w:p w:rsidR="00BF056B" w:rsidRPr="00CC3507" w:rsidRDefault="00BF056B" w:rsidP="00BF056B">
      <w:pPr>
        <w:spacing w:after="120" w:line="240" w:lineRule="auto"/>
        <w:ind w:firstLine="567"/>
        <w:jc w:val="both"/>
        <w:rPr>
          <w:rFonts w:ascii="Times New Roman" w:eastAsia="Times New Roman" w:hAnsi="Times New Roman" w:cs="Times New Roman"/>
          <w:bCs/>
          <w:sz w:val="24"/>
          <w:szCs w:val="24"/>
          <w:lang w:val="en-US"/>
        </w:rPr>
      </w:pPr>
    </w:p>
    <w:p w:rsidR="00BF056B" w:rsidRPr="00CC3507" w:rsidRDefault="00BF056B" w:rsidP="00BF056B">
      <w:pPr>
        <w:spacing w:before="100" w:after="120" w:line="240" w:lineRule="auto"/>
        <w:jc w:val="center"/>
        <w:rPr>
          <w:rFonts w:ascii="Times New Roman" w:eastAsia="Times New Roman" w:hAnsi="Times New Roman" w:cs="Times New Roman"/>
          <w:b/>
          <w:bCs/>
          <w:sz w:val="24"/>
          <w:szCs w:val="24"/>
          <w:lang w:val="en-US"/>
        </w:rPr>
      </w:pPr>
      <w:r w:rsidRPr="00CC3507">
        <w:rPr>
          <w:rFonts w:ascii="Times New Roman" w:eastAsia="Times New Roman" w:hAnsi="Times New Roman" w:cs="Times New Roman"/>
          <w:b/>
          <w:bCs/>
          <w:sz w:val="24"/>
          <w:szCs w:val="24"/>
          <w:lang w:val="en-US"/>
        </w:rPr>
        <w:t>V. Development of the precious metals market</w:t>
      </w:r>
    </w:p>
    <w:p w:rsidR="00BF056B" w:rsidRPr="00CC3507" w:rsidRDefault="00BF056B" w:rsidP="00BF056B">
      <w:pPr>
        <w:spacing w:after="120" w:line="240" w:lineRule="auto"/>
        <w:ind w:firstLine="567"/>
        <w:jc w:val="both"/>
        <w:rPr>
          <w:rFonts w:ascii="Times New Roman" w:eastAsia="Times New Roman" w:hAnsi="Times New Roman" w:cs="Times New Roman"/>
          <w:bCs/>
          <w:sz w:val="24"/>
          <w:szCs w:val="24"/>
          <w:lang w:val="en-US"/>
        </w:rPr>
      </w:pPr>
    </w:p>
    <w:p w:rsidR="00BF056B" w:rsidRPr="00CC3507" w:rsidRDefault="00BF056B" w:rsidP="00BF056B">
      <w:pPr>
        <w:spacing w:after="120" w:line="240" w:lineRule="auto"/>
        <w:ind w:firstLine="567"/>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In order to further develop the precious metals market Moscow Exchange Group intends to continue increase the number of members as well as to improve</w:t>
      </w:r>
      <w:r>
        <w:rPr>
          <w:rFonts w:ascii="Times New Roman" w:eastAsia="Times New Roman" w:hAnsi="Times New Roman" w:cs="Times New Roman"/>
          <w:bCs/>
          <w:sz w:val="24"/>
          <w:szCs w:val="24"/>
          <w:lang w:val="en-US"/>
        </w:rPr>
        <w:t xml:space="preserve"> post-</w:t>
      </w:r>
      <w:r w:rsidRPr="00CC3507">
        <w:rPr>
          <w:rFonts w:ascii="Times New Roman" w:eastAsia="Times New Roman" w:hAnsi="Times New Roman" w:cs="Times New Roman"/>
          <w:bCs/>
          <w:sz w:val="24"/>
          <w:szCs w:val="24"/>
          <w:lang w:val="en-US"/>
        </w:rPr>
        <w:t xml:space="preserve"> trading services.</w:t>
      </w:r>
    </w:p>
    <w:p w:rsidR="00BF056B" w:rsidRPr="00CC3507" w:rsidRDefault="00BF056B" w:rsidP="00BF056B">
      <w:pPr>
        <w:spacing w:after="120" w:line="240" w:lineRule="auto"/>
        <w:ind w:firstLine="567"/>
        <w:jc w:val="both"/>
        <w:rPr>
          <w:rFonts w:ascii="Times New Roman" w:eastAsia="Times New Roman" w:hAnsi="Times New Roman" w:cs="Times New Roman"/>
          <w:bCs/>
          <w:sz w:val="24"/>
          <w:szCs w:val="24"/>
          <w:lang w:val="en-US"/>
        </w:rPr>
      </w:pPr>
    </w:p>
    <w:p w:rsidR="00BF056B" w:rsidRPr="00CC3507" w:rsidRDefault="00BF056B" w:rsidP="00BF056B">
      <w:pPr>
        <w:spacing w:after="120" w:line="240" w:lineRule="auto"/>
        <w:ind w:firstLine="567"/>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The main directions of NCC’s activity concerning development of precious metals trades in 2014 are as follows:</w:t>
      </w:r>
    </w:p>
    <w:p w:rsidR="00BF056B" w:rsidRPr="00CC3507" w:rsidRDefault="00BF056B" w:rsidP="00BF056B">
      <w:pPr>
        <w:numPr>
          <w:ilvl w:val="0"/>
          <w:numId w:val="20"/>
        </w:numPr>
        <w:spacing w:after="120" w:line="240" w:lineRule="auto"/>
        <w:ind w:left="1134" w:hanging="425"/>
        <w:jc w:val="both"/>
        <w:rPr>
          <w:rFonts w:ascii="Times New Roman" w:eastAsia="Times New Roman" w:hAnsi="Times New Roman" w:cs="Times New Roman"/>
          <w:bCs/>
          <w:sz w:val="24"/>
          <w:szCs w:val="24"/>
          <w:lang w:val="en-US"/>
        </w:rPr>
      </w:pPr>
      <w:r w:rsidRPr="00DA09E2">
        <w:rPr>
          <w:rFonts w:ascii="Times New Roman" w:eastAsia="Times New Roman" w:hAnsi="Times New Roman" w:cs="Times New Roman"/>
          <w:bCs/>
          <w:sz w:val="24"/>
          <w:szCs w:val="24"/>
          <w:lang w:val="en-US"/>
        </w:rPr>
        <w:t>expansion of</w:t>
      </w:r>
      <w:r w:rsidRPr="00CC3507">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 xml:space="preserve"> </w:t>
      </w:r>
      <w:r w:rsidRPr="00CC3507">
        <w:rPr>
          <w:rFonts w:ascii="Times New Roman" w:eastAsia="Times New Roman" w:hAnsi="Times New Roman" w:cs="Times New Roman"/>
          <w:bCs/>
          <w:sz w:val="24"/>
          <w:szCs w:val="24"/>
          <w:lang w:val="en-US"/>
        </w:rPr>
        <w:t>the number of counterparties under impersonal metal accounts contracts and general agreements on general terms of precious metals sale trades;</w:t>
      </w:r>
    </w:p>
    <w:p w:rsidR="00BF056B" w:rsidRPr="00CC3507" w:rsidRDefault="00D55472" w:rsidP="00BF056B">
      <w:pPr>
        <w:numPr>
          <w:ilvl w:val="0"/>
          <w:numId w:val="20"/>
        </w:numPr>
        <w:spacing w:after="120" w:line="240" w:lineRule="auto"/>
        <w:ind w:left="1134" w:hanging="425"/>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i</w:t>
      </w:r>
      <w:r w:rsidR="00BF056B" w:rsidRPr="00CC3507">
        <w:rPr>
          <w:rFonts w:ascii="Times New Roman" w:eastAsia="Times New Roman" w:hAnsi="Times New Roman" w:cs="Times New Roman"/>
          <w:bCs/>
          <w:sz w:val="24"/>
          <w:szCs w:val="24"/>
          <w:lang w:val="en-US"/>
        </w:rPr>
        <w:t>nternal technologies</w:t>
      </w:r>
      <w:r w:rsidR="00BF056B">
        <w:rPr>
          <w:rFonts w:ascii="Times New Roman" w:eastAsia="Times New Roman" w:hAnsi="Times New Roman" w:cs="Times New Roman"/>
          <w:bCs/>
          <w:sz w:val="24"/>
          <w:szCs w:val="24"/>
          <w:lang w:val="en-US"/>
        </w:rPr>
        <w:t>`</w:t>
      </w:r>
      <w:r w:rsidR="00BF056B" w:rsidRPr="00CC3507">
        <w:rPr>
          <w:rFonts w:ascii="Times New Roman" w:eastAsia="Times New Roman" w:hAnsi="Times New Roman" w:cs="Times New Roman"/>
          <w:bCs/>
          <w:sz w:val="24"/>
          <w:szCs w:val="24"/>
          <w:lang w:val="en-US"/>
        </w:rPr>
        <w:t xml:space="preserve"> and business processes</w:t>
      </w:r>
      <w:r w:rsidR="00BF056B">
        <w:rPr>
          <w:rFonts w:ascii="Times New Roman" w:eastAsia="Times New Roman" w:hAnsi="Times New Roman" w:cs="Times New Roman"/>
          <w:bCs/>
          <w:sz w:val="24"/>
          <w:szCs w:val="24"/>
          <w:lang w:val="en-US"/>
        </w:rPr>
        <w:t>`</w:t>
      </w:r>
      <w:r w:rsidR="00BF056B" w:rsidRPr="00CC3507">
        <w:rPr>
          <w:rFonts w:ascii="Times New Roman" w:eastAsia="Times New Roman" w:hAnsi="Times New Roman" w:cs="Times New Roman"/>
          <w:bCs/>
          <w:sz w:val="24"/>
          <w:szCs w:val="24"/>
          <w:lang w:val="en-US"/>
        </w:rPr>
        <w:t xml:space="preserve"> </w:t>
      </w:r>
      <w:r w:rsidR="00BF056B" w:rsidRPr="00DA09E2">
        <w:rPr>
          <w:rFonts w:ascii="Times New Roman" w:eastAsia="Times New Roman" w:hAnsi="Times New Roman" w:cs="Times New Roman"/>
          <w:bCs/>
          <w:sz w:val="24"/>
          <w:szCs w:val="24"/>
          <w:lang w:val="en-US"/>
        </w:rPr>
        <w:t xml:space="preserve">optimization </w:t>
      </w:r>
      <w:r w:rsidR="00BF056B" w:rsidRPr="00CC3507">
        <w:rPr>
          <w:rFonts w:ascii="Times New Roman" w:eastAsia="Times New Roman" w:hAnsi="Times New Roman" w:cs="Times New Roman"/>
          <w:bCs/>
          <w:sz w:val="24"/>
          <w:szCs w:val="24"/>
          <w:lang w:val="en-US"/>
        </w:rPr>
        <w:t>under precious metals trades including operational liquidity management of precious metals on impersonal metal accounts and in the vault;</w:t>
      </w:r>
    </w:p>
    <w:p w:rsidR="00BF056B" w:rsidRPr="00CC3507" w:rsidRDefault="00BF056B" w:rsidP="00BF056B">
      <w:pPr>
        <w:numPr>
          <w:ilvl w:val="0"/>
          <w:numId w:val="20"/>
        </w:numPr>
        <w:spacing w:after="120" w:line="240" w:lineRule="auto"/>
        <w:ind w:left="1134" w:hanging="425"/>
        <w:jc w:val="both"/>
        <w:rPr>
          <w:rFonts w:ascii="Times New Roman" w:eastAsia="Times New Roman" w:hAnsi="Times New Roman" w:cs="Times New Roman"/>
          <w:bCs/>
          <w:sz w:val="24"/>
          <w:szCs w:val="24"/>
          <w:lang w:val="en-US"/>
        </w:rPr>
      </w:pPr>
      <w:proofErr w:type="gramStart"/>
      <w:r w:rsidRPr="00DA09E2">
        <w:rPr>
          <w:rFonts w:ascii="Times New Roman" w:eastAsia="Times New Roman" w:hAnsi="Times New Roman" w:cs="Times New Roman"/>
          <w:bCs/>
          <w:sz w:val="24"/>
          <w:szCs w:val="24"/>
          <w:lang w:val="en-US"/>
        </w:rPr>
        <w:t>cooperation</w:t>
      </w:r>
      <w:proofErr w:type="gramEnd"/>
      <w:r w:rsidRPr="00DA09E2">
        <w:rPr>
          <w:rFonts w:ascii="Times New Roman" w:eastAsia="Times New Roman" w:hAnsi="Times New Roman" w:cs="Times New Roman"/>
          <w:bCs/>
          <w:sz w:val="24"/>
          <w:szCs w:val="24"/>
          <w:lang w:val="en-US"/>
        </w:rPr>
        <w:t xml:space="preserve"> </w:t>
      </w:r>
      <w:r w:rsidRPr="00CC3507">
        <w:rPr>
          <w:rFonts w:ascii="Times New Roman" w:eastAsia="Times New Roman" w:hAnsi="Times New Roman" w:cs="Times New Roman"/>
          <w:bCs/>
          <w:sz w:val="24"/>
          <w:szCs w:val="24"/>
          <w:lang w:val="en-US"/>
        </w:rPr>
        <w:t>with Russian refining institutions on issues of concluding and executing contracts on productions of small precious metals bars.</w:t>
      </w:r>
    </w:p>
    <w:p w:rsidR="00BF056B" w:rsidRPr="00CC3507" w:rsidRDefault="00BF056B" w:rsidP="00BF056B">
      <w:pPr>
        <w:spacing w:after="120" w:line="240" w:lineRule="auto"/>
        <w:ind w:firstLine="567"/>
        <w:jc w:val="both"/>
        <w:rPr>
          <w:rFonts w:ascii="Times New Roman" w:eastAsia="Times New Roman" w:hAnsi="Times New Roman" w:cs="Times New Roman"/>
          <w:bCs/>
          <w:sz w:val="24"/>
          <w:szCs w:val="24"/>
          <w:lang w:val="en-US"/>
        </w:rPr>
      </w:pPr>
    </w:p>
    <w:p w:rsidR="00BF056B" w:rsidRDefault="00BF056B" w:rsidP="00BF056B">
      <w:pPr>
        <w:spacing w:after="120" w:line="240" w:lineRule="auto"/>
        <w:ind w:firstLine="567"/>
        <w:jc w:val="both"/>
        <w:rPr>
          <w:rFonts w:ascii="Times New Roman" w:eastAsia="Times New Roman" w:hAnsi="Times New Roman" w:cs="Times New Roman"/>
          <w:bCs/>
          <w:sz w:val="24"/>
          <w:szCs w:val="24"/>
          <w:lang w:val="en-US"/>
        </w:rPr>
      </w:pPr>
      <w:r w:rsidRPr="00CC3507">
        <w:rPr>
          <w:rFonts w:ascii="Times New Roman" w:eastAsia="Times New Roman" w:hAnsi="Times New Roman" w:cs="Times New Roman"/>
          <w:bCs/>
          <w:sz w:val="24"/>
          <w:szCs w:val="24"/>
          <w:lang w:val="en-US"/>
        </w:rPr>
        <w:t>Demand for small gold and silver bars is increasing from credit institutions – NCC’s clients. To meet this demand it is planned to introduce changes to the internal normative documents of NCC regulating trades orders with precious metals as well as working out and concluding of respective contracts with the institutions performing refining. Production of the first lot of small bars is scheduled for 1</w:t>
      </w:r>
      <w:r w:rsidRPr="00CC3507">
        <w:rPr>
          <w:rFonts w:ascii="Times New Roman" w:eastAsia="Times New Roman" w:hAnsi="Times New Roman" w:cs="Times New Roman"/>
          <w:bCs/>
          <w:sz w:val="24"/>
          <w:szCs w:val="24"/>
          <w:vertAlign w:val="superscript"/>
          <w:lang w:val="en-US"/>
        </w:rPr>
        <w:t>st</w:t>
      </w:r>
      <w:r w:rsidRPr="00CC3507">
        <w:rPr>
          <w:rFonts w:ascii="Times New Roman" w:eastAsia="Times New Roman" w:hAnsi="Times New Roman" w:cs="Times New Roman"/>
          <w:bCs/>
          <w:sz w:val="24"/>
          <w:szCs w:val="24"/>
          <w:lang w:val="en-US"/>
        </w:rPr>
        <w:t xml:space="preserve"> half </w:t>
      </w:r>
      <w:r w:rsidR="009D7D50">
        <w:rPr>
          <w:rFonts w:ascii="Times New Roman" w:eastAsia="Times New Roman" w:hAnsi="Times New Roman" w:cs="Times New Roman"/>
          <w:bCs/>
          <w:sz w:val="24"/>
          <w:szCs w:val="24"/>
          <w:lang w:val="en-US"/>
        </w:rPr>
        <w:t>of</w:t>
      </w:r>
      <w:r w:rsidRPr="00CC3507">
        <w:rPr>
          <w:rFonts w:ascii="Times New Roman" w:eastAsia="Times New Roman" w:hAnsi="Times New Roman" w:cs="Times New Roman"/>
          <w:bCs/>
          <w:sz w:val="24"/>
          <w:szCs w:val="24"/>
          <w:lang w:val="en-US"/>
        </w:rPr>
        <w:t xml:space="preserve"> 2014. Standard precious metals </w:t>
      </w:r>
      <w:r w:rsidR="009D7D50">
        <w:rPr>
          <w:rFonts w:ascii="Times New Roman" w:eastAsia="Times New Roman" w:hAnsi="Times New Roman" w:cs="Times New Roman"/>
          <w:bCs/>
          <w:sz w:val="24"/>
          <w:szCs w:val="24"/>
          <w:lang w:val="en-US"/>
        </w:rPr>
        <w:t>b</w:t>
      </w:r>
      <w:r w:rsidRPr="00CC3507">
        <w:rPr>
          <w:rFonts w:ascii="Times New Roman" w:eastAsia="Times New Roman" w:hAnsi="Times New Roman" w:cs="Times New Roman"/>
          <w:bCs/>
          <w:sz w:val="24"/>
          <w:szCs w:val="24"/>
          <w:lang w:val="en-US"/>
        </w:rPr>
        <w:t>ars owned by NCC will be used as the raw materials.</w:t>
      </w:r>
    </w:p>
    <w:p w:rsidR="008C2120" w:rsidRPr="008C2120" w:rsidRDefault="008C2120" w:rsidP="008C2120">
      <w:pPr>
        <w:spacing w:after="120" w:line="240" w:lineRule="auto"/>
        <w:ind w:firstLine="567"/>
        <w:jc w:val="both"/>
        <w:rPr>
          <w:rFonts w:ascii="Times New Roman" w:eastAsia="Times New Roman" w:hAnsi="Times New Roman" w:cs="Times New Roman"/>
          <w:bCs/>
          <w:sz w:val="24"/>
          <w:szCs w:val="24"/>
          <w:lang w:val="en-US"/>
        </w:rPr>
      </w:pPr>
    </w:p>
    <w:p w:rsidR="008C2120" w:rsidRPr="008C2120" w:rsidRDefault="008C2120" w:rsidP="008C2120">
      <w:pPr>
        <w:spacing w:before="100" w:after="120" w:line="240" w:lineRule="auto"/>
        <w:jc w:val="center"/>
        <w:rPr>
          <w:rFonts w:ascii="Times New Roman" w:eastAsia="Times New Roman" w:hAnsi="Times New Roman" w:cs="Times New Roman"/>
          <w:b/>
          <w:bCs/>
          <w:sz w:val="24"/>
          <w:szCs w:val="24"/>
          <w:lang w:val="en-US"/>
        </w:rPr>
      </w:pPr>
      <w:r w:rsidRPr="008C2120">
        <w:rPr>
          <w:rFonts w:ascii="Times New Roman" w:eastAsia="Times New Roman" w:hAnsi="Times New Roman" w:cs="Times New Roman"/>
          <w:b/>
          <w:bCs/>
          <w:sz w:val="24"/>
          <w:szCs w:val="24"/>
          <w:lang w:val="en-US"/>
        </w:rPr>
        <w:t>VI. NCC strategic goals</w:t>
      </w:r>
    </w:p>
    <w:p w:rsidR="008C2120" w:rsidRPr="008C2120" w:rsidRDefault="008C2120" w:rsidP="008C2120">
      <w:pPr>
        <w:spacing w:after="120" w:line="240" w:lineRule="auto"/>
        <w:ind w:firstLine="567"/>
        <w:jc w:val="both"/>
        <w:rPr>
          <w:rFonts w:ascii="Times New Roman" w:eastAsia="Times New Roman" w:hAnsi="Times New Roman" w:cs="Times New Roman"/>
          <w:bCs/>
          <w:sz w:val="24"/>
          <w:szCs w:val="24"/>
          <w:lang w:val="en-US"/>
        </w:rPr>
      </w:pPr>
      <w:r w:rsidRPr="008C2120">
        <w:rPr>
          <w:rFonts w:ascii="Times New Roman" w:eastAsia="Times New Roman" w:hAnsi="Times New Roman" w:cs="Times New Roman"/>
          <w:bCs/>
          <w:sz w:val="24"/>
          <w:szCs w:val="24"/>
          <w:lang w:val="en-US"/>
        </w:rPr>
        <w:t xml:space="preserve">NCC sets the following strategic </w:t>
      </w:r>
      <w:proofErr w:type="gramStart"/>
      <w:r w:rsidRPr="008C2120">
        <w:rPr>
          <w:rFonts w:ascii="Times New Roman" w:eastAsia="Times New Roman" w:hAnsi="Times New Roman" w:cs="Times New Roman"/>
          <w:bCs/>
          <w:sz w:val="24"/>
          <w:szCs w:val="24"/>
          <w:lang w:val="en-US"/>
        </w:rPr>
        <w:t>goals  in</w:t>
      </w:r>
      <w:proofErr w:type="gramEnd"/>
      <w:r w:rsidRPr="008C2120">
        <w:rPr>
          <w:rFonts w:ascii="Times New Roman" w:eastAsia="Times New Roman" w:hAnsi="Times New Roman" w:cs="Times New Roman"/>
          <w:bCs/>
          <w:sz w:val="24"/>
          <w:szCs w:val="24"/>
          <w:lang w:val="en-US"/>
        </w:rPr>
        <w:t xml:space="preserve"> improving of the</w:t>
      </w:r>
      <w:r w:rsidR="00D55472">
        <w:rPr>
          <w:rFonts w:ascii="Times New Roman" w:eastAsia="Times New Roman" w:hAnsi="Times New Roman" w:cs="Times New Roman"/>
          <w:bCs/>
          <w:sz w:val="24"/>
          <w:szCs w:val="24"/>
          <w:lang w:val="en-US"/>
        </w:rPr>
        <w:t xml:space="preserve"> </w:t>
      </w:r>
      <w:r w:rsidRPr="008C2120">
        <w:rPr>
          <w:rFonts w:ascii="Times New Roman" w:eastAsia="Times New Roman" w:hAnsi="Times New Roman" w:cs="Times New Roman"/>
          <w:bCs/>
          <w:sz w:val="24"/>
          <w:szCs w:val="24"/>
          <w:lang w:val="en-US"/>
        </w:rPr>
        <w:t xml:space="preserve"> CCP ‘s quality management  and in complying with the regulator’s requirements:</w:t>
      </w:r>
    </w:p>
    <w:p w:rsidR="008C2120" w:rsidRPr="00D55472" w:rsidRDefault="008C2120" w:rsidP="00472CA4">
      <w:pPr>
        <w:pStyle w:val="af0"/>
        <w:numPr>
          <w:ilvl w:val="0"/>
          <w:numId w:val="53"/>
        </w:numPr>
        <w:spacing w:after="120" w:line="240" w:lineRule="auto"/>
        <w:jc w:val="both"/>
        <w:rPr>
          <w:rFonts w:ascii="Times New Roman" w:eastAsia="Times New Roman" w:hAnsi="Times New Roman" w:cs="Times New Roman"/>
          <w:bCs/>
          <w:sz w:val="24"/>
          <w:szCs w:val="24"/>
          <w:lang w:val="en-US"/>
        </w:rPr>
      </w:pPr>
      <w:r w:rsidRPr="00D55472">
        <w:rPr>
          <w:rFonts w:ascii="Times New Roman" w:eastAsia="Times New Roman" w:hAnsi="Times New Roman" w:cs="Times New Roman"/>
          <w:bCs/>
          <w:sz w:val="24"/>
          <w:szCs w:val="24"/>
          <w:lang w:val="en-US"/>
        </w:rPr>
        <w:t>to take a set of measures to maintain  quality management of NCC at the level of Bank of Russia requirements specified by the regulator to a qualifying central counterparty, this status was granted to NCC by Bank of Russia in 2013;</w:t>
      </w:r>
    </w:p>
    <w:p w:rsidR="008C2120" w:rsidRPr="00D55472" w:rsidRDefault="008C2120" w:rsidP="00472CA4">
      <w:pPr>
        <w:pStyle w:val="af0"/>
        <w:numPr>
          <w:ilvl w:val="0"/>
          <w:numId w:val="53"/>
        </w:numPr>
        <w:spacing w:after="120" w:line="240" w:lineRule="auto"/>
        <w:jc w:val="both"/>
        <w:rPr>
          <w:rFonts w:ascii="Times New Roman" w:eastAsia="Times New Roman" w:hAnsi="Times New Roman" w:cs="Times New Roman"/>
          <w:bCs/>
          <w:sz w:val="24"/>
          <w:szCs w:val="24"/>
          <w:lang w:val="en-US"/>
        </w:rPr>
      </w:pPr>
      <w:r w:rsidRPr="00D55472">
        <w:rPr>
          <w:rFonts w:ascii="Times New Roman" w:eastAsia="Times New Roman" w:hAnsi="Times New Roman" w:cs="Times New Roman"/>
          <w:bCs/>
          <w:sz w:val="24"/>
          <w:szCs w:val="24"/>
          <w:lang w:val="en-US"/>
        </w:rPr>
        <w:t>to maintain the international credit rating,  NCC</w:t>
      </w:r>
      <w:r w:rsidR="00004CA8" w:rsidRPr="00D55472">
        <w:rPr>
          <w:rFonts w:ascii="Times New Roman" w:eastAsia="Times New Roman" w:hAnsi="Times New Roman" w:cs="Times New Roman"/>
          <w:bCs/>
          <w:sz w:val="24"/>
          <w:szCs w:val="24"/>
          <w:lang w:val="en-US"/>
        </w:rPr>
        <w:t xml:space="preserve"> </w:t>
      </w:r>
      <w:r w:rsidRPr="00D55472">
        <w:rPr>
          <w:rFonts w:ascii="Times New Roman" w:eastAsia="Times New Roman" w:hAnsi="Times New Roman" w:cs="Times New Roman"/>
          <w:bCs/>
          <w:sz w:val="24"/>
          <w:szCs w:val="24"/>
          <w:lang w:val="en-US"/>
        </w:rPr>
        <w:t>assigned  in 2013, at the level not lower than a country’s one;</w:t>
      </w:r>
    </w:p>
    <w:p w:rsidR="008C2120" w:rsidRPr="00D55472" w:rsidRDefault="008C2120" w:rsidP="00472CA4">
      <w:pPr>
        <w:pStyle w:val="af0"/>
        <w:numPr>
          <w:ilvl w:val="0"/>
          <w:numId w:val="53"/>
        </w:numPr>
        <w:spacing w:after="120" w:line="240" w:lineRule="auto"/>
        <w:jc w:val="both"/>
        <w:rPr>
          <w:rFonts w:ascii="Times New Roman" w:eastAsia="Times New Roman" w:hAnsi="Times New Roman" w:cs="Times New Roman"/>
          <w:bCs/>
          <w:sz w:val="24"/>
          <w:szCs w:val="24"/>
          <w:lang w:val="en-US"/>
        </w:rPr>
      </w:pPr>
      <w:proofErr w:type="gramStart"/>
      <w:r w:rsidRPr="00D55472">
        <w:rPr>
          <w:rFonts w:ascii="Times New Roman" w:eastAsia="Times New Roman" w:hAnsi="Times New Roman" w:cs="Times New Roman"/>
          <w:bCs/>
          <w:sz w:val="24"/>
          <w:szCs w:val="24"/>
          <w:lang w:val="en-US"/>
        </w:rPr>
        <w:t>to</w:t>
      </w:r>
      <w:proofErr w:type="gramEnd"/>
      <w:r w:rsidRPr="00D55472">
        <w:rPr>
          <w:rFonts w:ascii="Times New Roman" w:eastAsia="Times New Roman" w:hAnsi="Times New Roman" w:cs="Times New Roman"/>
          <w:bCs/>
          <w:sz w:val="24"/>
          <w:szCs w:val="24"/>
          <w:lang w:val="en-US"/>
        </w:rPr>
        <w:t xml:space="preserve"> make targeted  efforts to solve the issues concerning the access of foreign clearing members to the Russian Exchange market.</w:t>
      </w:r>
    </w:p>
    <w:p w:rsidR="008C2120" w:rsidRPr="008C2120" w:rsidRDefault="008C2120" w:rsidP="008C2120">
      <w:pPr>
        <w:spacing w:after="120" w:line="240" w:lineRule="auto"/>
        <w:ind w:firstLine="567"/>
        <w:jc w:val="both"/>
        <w:rPr>
          <w:rFonts w:ascii="Times New Roman" w:eastAsia="Times New Roman" w:hAnsi="Times New Roman" w:cs="Times New Roman"/>
          <w:bCs/>
          <w:sz w:val="24"/>
          <w:szCs w:val="24"/>
          <w:lang w:val="en-US"/>
        </w:rPr>
      </w:pPr>
      <w:r w:rsidRPr="008C2120">
        <w:rPr>
          <w:rFonts w:ascii="Times New Roman" w:eastAsia="Times New Roman" w:hAnsi="Times New Roman" w:cs="Times New Roman"/>
          <w:bCs/>
          <w:sz w:val="24"/>
          <w:szCs w:val="24"/>
          <w:lang w:val="en-US"/>
        </w:rPr>
        <w:t xml:space="preserve">Implementation of a number of strategic goals set by the Bank will </w:t>
      </w:r>
      <w:r w:rsidR="00004CA8">
        <w:fldChar w:fldCharType="begin"/>
      </w:r>
      <w:r w:rsidR="00004CA8">
        <w:fldChar w:fldCharType="separate"/>
      </w:r>
      <w:r w:rsidRPr="008C2120">
        <w:rPr>
          <w:rFonts w:ascii="Times New Roman" w:eastAsiaTheme="minorEastAsia" w:hAnsi="Times New Roman" w:cs="Times New Roman"/>
          <w:sz w:val="24"/>
          <w:szCs w:val="24"/>
          <w:lang w:val="en-US"/>
        </w:rPr>
        <w:t>to a large extent</w:t>
      </w:r>
      <w:r w:rsidR="00004CA8">
        <w:rPr>
          <w:rFonts w:ascii="Times New Roman" w:eastAsiaTheme="minorEastAsia" w:hAnsi="Times New Roman" w:cs="Times New Roman"/>
          <w:sz w:val="24"/>
          <w:szCs w:val="24"/>
          <w:lang w:val="en-US"/>
        </w:rPr>
        <w:fldChar w:fldCharType="end"/>
      </w:r>
      <w:r w:rsidRPr="008C2120">
        <w:rPr>
          <w:rFonts w:ascii="Times New Roman" w:eastAsiaTheme="minorEastAsia" w:hAnsi="Times New Roman" w:cs="Times New Roman"/>
          <w:sz w:val="24"/>
          <w:szCs w:val="24"/>
          <w:lang w:val="en-US"/>
        </w:rPr>
        <w:t xml:space="preserve"> </w:t>
      </w:r>
      <w:r w:rsidRPr="008C2120">
        <w:rPr>
          <w:rFonts w:ascii="Times New Roman" w:eastAsia="Times New Roman" w:hAnsi="Times New Roman" w:cs="Times New Roman"/>
          <w:bCs/>
          <w:sz w:val="24"/>
          <w:szCs w:val="24"/>
          <w:lang w:val="en-US"/>
        </w:rPr>
        <w:t>depend on changes in the regulatory environment beyond the national legislation boarders. The practice of using new EU legislation in 2013 surfaced a number of issues connected to the trades of European members with foreign central counterparties from non-EU states as well as with the Russian central counterparty – NCC.</w:t>
      </w:r>
    </w:p>
    <w:p w:rsidR="008C2120" w:rsidRPr="008C2120" w:rsidRDefault="008C2120" w:rsidP="008C2120">
      <w:pPr>
        <w:spacing w:after="120" w:line="240" w:lineRule="auto"/>
        <w:ind w:firstLine="567"/>
        <w:jc w:val="both"/>
        <w:rPr>
          <w:rFonts w:ascii="Times New Roman" w:eastAsia="Times New Roman" w:hAnsi="Times New Roman" w:cs="Times New Roman"/>
          <w:bCs/>
          <w:sz w:val="24"/>
          <w:szCs w:val="24"/>
          <w:lang w:val="en-US"/>
        </w:rPr>
      </w:pPr>
      <w:r w:rsidRPr="008C2120">
        <w:rPr>
          <w:rFonts w:ascii="Times New Roman" w:eastAsia="Times New Roman" w:hAnsi="Times New Roman" w:cs="Times New Roman"/>
          <w:bCs/>
          <w:sz w:val="24"/>
          <w:szCs w:val="24"/>
          <w:lang w:val="en-US"/>
        </w:rPr>
        <w:t>In order to ensure efficient integration of the Russian market it is necessary to undertake a number of efforts to harmonize foreign, particularly, European legislation and the international performance standards. NCC being a full member of  EACH, will aim to play a pro-active role in setting and solving the issues on legislation harmonization and plans to focus its efforts on this direction during the reporting year using different possible communication channels including the channel of the mentioned European association.</w:t>
      </w:r>
    </w:p>
    <w:p w:rsidR="008C2120" w:rsidRPr="008C2120" w:rsidRDefault="008C2120" w:rsidP="008C2120">
      <w:pPr>
        <w:spacing w:after="120" w:line="240" w:lineRule="auto"/>
        <w:ind w:firstLine="567"/>
        <w:jc w:val="both"/>
        <w:rPr>
          <w:rFonts w:ascii="Times New Roman" w:eastAsia="Times New Roman" w:hAnsi="Times New Roman" w:cs="Times New Roman"/>
          <w:bCs/>
          <w:sz w:val="24"/>
          <w:szCs w:val="24"/>
          <w:lang w:val="en-US"/>
        </w:rPr>
      </w:pPr>
      <w:r w:rsidRPr="008C2120">
        <w:rPr>
          <w:rFonts w:ascii="Times New Roman" w:eastAsia="Times New Roman" w:hAnsi="Times New Roman" w:cs="Times New Roman"/>
          <w:bCs/>
          <w:sz w:val="24"/>
          <w:szCs w:val="24"/>
          <w:lang w:val="en-US"/>
        </w:rPr>
        <w:t>Therefore, from a legal point of view, NCC finds reasonable the approach which would enable European members to cooperate with the Russian CCP directly and would enable European banks to apply the Basel requirements set for qualifying CCPs, to realize a goal aimed at:</w:t>
      </w:r>
    </w:p>
    <w:p w:rsidR="008C2120" w:rsidRPr="008C2120" w:rsidRDefault="008C2120" w:rsidP="00472CA4">
      <w:pPr>
        <w:numPr>
          <w:ilvl w:val="0"/>
          <w:numId w:val="24"/>
        </w:numPr>
        <w:spacing w:after="120" w:line="240" w:lineRule="auto"/>
        <w:ind w:left="1134" w:hanging="425"/>
        <w:jc w:val="both"/>
        <w:rPr>
          <w:rFonts w:ascii="Times New Roman" w:eastAsia="Times New Roman" w:hAnsi="Times New Roman" w:cs="Times New Roman"/>
          <w:bCs/>
          <w:sz w:val="24"/>
          <w:szCs w:val="24"/>
          <w:lang w:val="en-US"/>
        </w:rPr>
      </w:pPr>
      <w:r w:rsidRPr="008C2120">
        <w:rPr>
          <w:rFonts w:ascii="Times New Roman" w:eastAsia="Times New Roman" w:hAnsi="Times New Roman" w:cs="Times New Roman"/>
          <w:bCs/>
          <w:sz w:val="24"/>
          <w:szCs w:val="24"/>
          <w:lang w:val="en-US"/>
        </w:rPr>
        <w:t>reaching mutual agreements between the Russian regulator and European authorities to set comparability of Russian and European legislation/the international performance standards;</w:t>
      </w:r>
    </w:p>
    <w:p w:rsidR="008C2120" w:rsidRPr="008C2120" w:rsidRDefault="008C2120" w:rsidP="00472CA4">
      <w:pPr>
        <w:numPr>
          <w:ilvl w:val="0"/>
          <w:numId w:val="24"/>
        </w:numPr>
        <w:spacing w:after="120" w:line="240" w:lineRule="auto"/>
        <w:ind w:left="1134" w:hanging="425"/>
        <w:jc w:val="both"/>
        <w:rPr>
          <w:rFonts w:ascii="Times New Roman" w:eastAsia="Times New Roman" w:hAnsi="Times New Roman" w:cs="Times New Roman"/>
          <w:bCs/>
          <w:sz w:val="24"/>
          <w:szCs w:val="24"/>
          <w:lang w:val="en-US"/>
        </w:rPr>
      </w:pPr>
      <w:r w:rsidRPr="008C2120">
        <w:rPr>
          <w:rFonts w:ascii="Times New Roman" w:eastAsia="Times New Roman" w:hAnsi="Times New Roman" w:cs="Times New Roman"/>
          <w:bCs/>
          <w:sz w:val="24"/>
          <w:szCs w:val="24"/>
          <w:lang w:val="en-US"/>
        </w:rPr>
        <w:t xml:space="preserve">recognizing by European regulators the qualification granted by the Russian regulator without </w:t>
      </w:r>
      <w:r w:rsidR="001C056F">
        <w:rPr>
          <w:rFonts w:ascii="Times New Roman" w:eastAsia="Times New Roman" w:hAnsi="Times New Roman" w:cs="Times New Roman"/>
          <w:bCs/>
          <w:sz w:val="24"/>
          <w:szCs w:val="24"/>
          <w:lang w:val="en-US"/>
        </w:rPr>
        <w:t xml:space="preserve">direct applying by the Russian CCP to </w:t>
      </w:r>
      <w:r w:rsidR="001C056F" w:rsidRPr="008C2120">
        <w:rPr>
          <w:rFonts w:ascii="Times New Roman" w:eastAsia="Times New Roman" w:hAnsi="Times New Roman" w:cs="Times New Roman"/>
          <w:bCs/>
          <w:sz w:val="24"/>
          <w:szCs w:val="24"/>
          <w:lang w:val="en-US"/>
        </w:rPr>
        <w:t>foreign regulators</w:t>
      </w:r>
      <w:r w:rsidR="001C056F">
        <w:rPr>
          <w:rFonts w:ascii="Times New Roman" w:eastAsia="Times New Roman" w:hAnsi="Times New Roman" w:cs="Times New Roman"/>
          <w:bCs/>
          <w:sz w:val="24"/>
          <w:szCs w:val="24"/>
          <w:lang w:val="en-US"/>
        </w:rPr>
        <w:t>,</w:t>
      </w:r>
      <w:r w:rsidR="001C056F" w:rsidRPr="008C2120">
        <w:rPr>
          <w:rFonts w:ascii="Times New Roman" w:eastAsia="Times New Roman" w:hAnsi="Times New Roman" w:cs="Times New Roman"/>
          <w:bCs/>
          <w:sz w:val="24"/>
          <w:szCs w:val="24"/>
          <w:lang w:val="en-US"/>
        </w:rPr>
        <w:t xml:space="preserve"> including European </w:t>
      </w:r>
      <w:r w:rsidR="001C056F">
        <w:rPr>
          <w:rFonts w:ascii="Times New Roman" w:eastAsia="Times New Roman" w:hAnsi="Times New Roman" w:cs="Times New Roman"/>
          <w:bCs/>
          <w:sz w:val="24"/>
          <w:szCs w:val="24"/>
          <w:lang w:val="en-US"/>
        </w:rPr>
        <w:t>–</w:t>
      </w:r>
      <w:r w:rsidR="001C056F" w:rsidRPr="008C2120">
        <w:rPr>
          <w:rFonts w:ascii="Times New Roman" w:eastAsia="Times New Roman" w:hAnsi="Times New Roman" w:cs="Times New Roman"/>
          <w:bCs/>
          <w:sz w:val="24"/>
          <w:szCs w:val="24"/>
          <w:lang w:val="en-US"/>
        </w:rPr>
        <w:t>ESMA</w:t>
      </w:r>
      <w:r w:rsidR="001C056F">
        <w:rPr>
          <w:rFonts w:ascii="Times New Roman" w:eastAsia="Times New Roman" w:hAnsi="Times New Roman" w:cs="Times New Roman"/>
          <w:bCs/>
          <w:sz w:val="24"/>
          <w:szCs w:val="24"/>
          <w:lang w:val="en-US"/>
        </w:rPr>
        <w:t>,</w:t>
      </w:r>
      <w:r w:rsidR="001C056F" w:rsidRPr="008C2120">
        <w:rPr>
          <w:rFonts w:ascii="Times New Roman" w:eastAsia="Times New Roman" w:hAnsi="Times New Roman" w:cs="Times New Roman"/>
          <w:bCs/>
          <w:sz w:val="24"/>
          <w:szCs w:val="24"/>
          <w:lang w:val="en-US"/>
        </w:rPr>
        <w:t xml:space="preserve"> </w:t>
      </w:r>
      <w:r w:rsidR="001C056F">
        <w:rPr>
          <w:rFonts w:ascii="Times New Roman" w:eastAsia="Times New Roman" w:hAnsi="Times New Roman" w:cs="Times New Roman"/>
          <w:bCs/>
          <w:sz w:val="24"/>
          <w:szCs w:val="24"/>
          <w:lang w:val="en-US"/>
        </w:rPr>
        <w:t xml:space="preserve"> to get from them </w:t>
      </w:r>
      <w:r w:rsidRPr="008C2120">
        <w:rPr>
          <w:rFonts w:ascii="Times New Roman" w:eastAsia="Times New Roman" w:hAnsi="Times New Roman" w:cs="Times New Roman"/>
          <w:bCs/>
          <w:sz w:val="24"/>
          <w:szCs w:val="24"/>
          <w:lang w:val="en-US"/>
        </w:rPr>
        <w:t>any additional qualification.</w:t>
      </w:r>
    </w:p>
    <w:p w:rsidR="008C2120" w:rsidRPr="008C2120" w:rsidRDefault="008C2120" w:rsidP="008C2120">
      <w:pPr>
        <w:spacing w:after="120" w:line="240" w:lineRule="auto"/>
        <w:ind w:firstLine="567"/>
        <w:jc w:val="both"/>
        <w:rPr>
          <w:rFonts w:ascii="Times New Roman" w:eastAsia="Times New Roman" w:hAnsi="Times New Roman" w:cs="Times New Roman"/>
          <w:bCs/>
          <w:sz w:val="24"/>
          <w:szCs w:val="24"/>
          <w:lang w:val="en-US"/>
        </w:rPr>
      </w:pPr>
      <w:r w:rsidRPr="008C2120">
        <w:rPr>
          <w:rFonts w:ascii="Times New Roman" w:eastAsia="Times New Roman" w:hAnsi="Times New Roman" w:cs="Times New Roman"/>
          <w:bCs/>
          <w:sz w:val="24"/>
          <w:szCs w:val="24"/>
          <w:lang w:val="en-US"/>
        </w:rPr>
        <w:t>NCC will focus its efforts in the field of international cooperation on develop</w:t>
      </w:r>
      <w:r w:rsidR="001C056F">
        <w:rPr>
          <w:rFonts w:ascii="Times New Roman" w:eastAsia="Times New Roman" w:hAnsi="Times New Roman" w:cs="Times New Roman"/>
          <w:bCs/>
          <w:sz w:val="24"/>
          <w:szCs w:val="24"/>
          <w:lang w:val="en-US"/>
        </w:rPr>
        <w:t>ing</w:t>
      </w:r>
      <w:r w:rsidRPr="008C2120">
        <w:rPr>
          <w:rFonts w:ascii="Times New Roman" w:eastAsia="Times New Roman" w:hAnsi="Times New Roman" w:cs="Times New Roman"/>
          <w:bCs/>
          <w:sz w:val="24"/>
          <w:szCs w:val="24"/>
          <w:lang w:val="en-US"/>
        </w:rPr>
        <w:t xml:space="preserve"> of this approach </w:t>
      </w:r>
      <w:r w:rsidR="001C056F">
        <w:rPr>
          <w:rFonts w:ascii="Times New Roman" w:eastAsia="Times New Roman" w:hAnsi="Times New Roman" w:cs="Times New Roman"/>
          <w:bCs/>
          <w:sz w:val="24"/>
          <w:szCs w:val="24"/>
          <w:lang w:val="en-US"/>
        </w:rPr>
        <w:t xml:space="preserve">which will secure </w:t>
      </w:r>
      <w:r w:rsidR="0065060D">
        <w:rPr>
          <w:rFonts w:ascii="Times New Roman" w:eastAsia="Times New Roman" w:hAnsi="Times New Roman" w:cs="Times New Roman"/>
          <w:bCs/>
          <w:sz w:val="24"/>
          <w:szCs w:val="24"/>
          <w:lang w:val="en-US"/>
        </w:rPr>
        <w:t>to</w:t>
      </w:r>
      <w:r w:rsidRPr="008C2120">
        <w:rPr>
          <w:rFonts w:ascii="Times New Roman" w:eastAsia="Times New Roman" w:hAnsi="Times New Roman" w:cs="Times New Roman"/>
          <w:bCs/>
          <w:sz w:val="24"/>
          <w:szCs w:val="24"/>
          <w:lang w:val="en-US"/>
        </w:rPr>
        <w:t xml:space="preserve"> Russia the role of a full partner </w:t>
      </w:r>
      <w:r w:rsidR="00080622">
        <w:rPr>
          <w:rFonts w:ascii="Times New Roman" w:eastAsia="Times New Roman" w:hAnsi="Times New Roman" w:cs="Times New Roman"/>
          <w:bCs/>
          <w:sz w:val="24"/>
          <w:szCs w:val="24"/>
          <w:lang w:val="en-US"/>
        </w:rPr>
        <w:t>in</w:t>
      </w:r>
      <w:r w:rsidRPr="008C2120">
        <w:rPr>
          <w:rFonts w:ascii="Times New Roman" w:eastAsia="Times New Roman" w:hAnsi="Times New Roman" w:cs="Times New Roman"/>
          <w:bCs/>
          <w:sz w:val="24"/>
          <w:szCs w:val="24"/>
          <w:lang w:val="en-US"/>
        </w:rPr>
        <w:t xml:space="preserve"> the world financial system.</w:t>
      </w:r>
    </w:p>
    <w:p w:rsidR="008C2120" w:rsidRPr="008C2120" w:rsidRDefault="008C2120" w:rsidP="008C2120">
      <w:pPr>
        <w:spacing w:after="120" w:line="240" w:lineRule="auto"/>
        <w:ind w:firstLine="567"/>
        <w:jc w:val="both"/>
        <w:rPr>
          <w:rFonts w:ascii="Times New Roman" w:eastAsia="Times New Roman" w:hAnsi="Times New Roman" w:cs="Times New Roman"/>
          <w:bCs/>
          <w:sz w:val="24"/>
          <w:szCs w:val="24"/>
          <w:lang w:val="en-US"/>
        </w:rPr>
      </w:pPr>
    </w:p>
    <w:p w:rsidR="008C2120" w:rsidRPr="008C2120" w:rsidRDefault="008C2120" w:rsidP="008C2120">
      <w:pPr>
        <w:spacing w:before="100" w:after="120" w:line="240" w:lineRule="auto"/>
        <w:jc w:val="center"/>
        <w:rPr>
          <w:rFonts w:ascii="Times New Roman" w:eastAsia="Times New Roman" w:hAnsi="Times New Roman" w:cs="Times New Roman"/>
          <w:b/>
          <w:bCs/>
          <w:sz w:val="24"/>
          <w:szCs w:val="24"/>
          <w:lang w:val="en-US"/>
        </w:rPr>
      </w:pPr>
      <w:r w:rsidRPr="008C2120">
        <w:rPr>
          <w:rFonts w:ascii="Times New Roman" w:eastAsia="Times New Roman" w:hAnsi="Times New Roman" w:cs="Times New Roman"/>
          <w:b/>
          <w:bCs/>
          <w:sz w:val="24"/>
          <w:szCs w:val="24"/>
          <w:lang w:val="en-US"/>
        </w:rPr>
        <w:t>VII. NCC tasks on development and optimization of its own trades</w:t>
      </w:r>
    </w:p>
    <w:p w:rsidR="008C2120" w:rsidRPr="008C2120" w:rsidRDefault="008C2120" w:rsidP="008C2120">
      <w:pPr>
        <w:spacing w:after="120" w:line="240" w:lineRule="auto"/>
        <w:ind w:firstLine="567"/>
        <w:jc w:val="both"/>
        <w:rPr>
          <w:rFonts w:ascii="Times New Roman" w:eastAsia="Times New Roman" w:hAnsi="Times New Roman" w:cs="Times New Roman"/>
          <w:bCs/>
          <w:sz w:val="24"/>
          <w:szCs w:val="24"/>
          <w:lang w:val="en-US"/>
        </w:rPr>
      </w:pPr>
      <w:r w:rsidRPr="008C2120">
        <w:rPr>
          <w:rFonts w:ascii="Times New Roman" w:eastAsia="Times New Roman" w:hAnsi="Times New Roman" w:cs="Times New Roman"/>
          <w:bCs/>
          <w:sz w:val="24"/>
          <w:szCs w:val="24"/>
          <w:lang w:val="en-US"/>
        </w:rPr>
        <w:t>These tasks are stipulated</w:t>
      </w:r>
      <w:r w:rsidR="00506421">
        <w:rPr>
          <w:rFonts w:ascii="Times New Roman" w:eastAsia="Times New Roman" w:hAnsi="Times New Roman" w:cs="Times New Roman"/>
          <w:bCs/>
          <w:sz w:val="24"/>
          <w:szCs w:val="24"/>
          <w:lang w:val="en-US"/>
        </w:rPr>
        <w:t>,</w:t>
      </w:r>
      <w:r w:rsidRPr="008C2120">
        <w:rPr>
          <w:rFonts w:ascii="Times New Roman" w:eastAsia="Times New Roman" w:hAnsi="Times New Roman" w:cs="Times New Roman"/>
          <w:bCs/>
          <w:sz w:val="24"/>
          <w:szCs w:val="24"/>
          <w:lang w:val="en-US"/>
        </w:rPr>
        <w:t xml:space="preserve"> on the one hand</w:t>
      </w:r>
      <w:r w:rsidR="00506421">
        <w:rPr>
          <w:rFonts w:ascii="Times New Roman" w:eastAsia="Times New Roman" w:hAnsi="Times New Roman" w:cs="Times New Roman"/>
          <w:bCs/>
          <w:sz w:val="24"/>
          <w:szCs w:val="24"/>
          <w:lang w:val="en-US"/>
        </w:rPr>
        <w:t>,</w:t>
      </w:r>
      <w:r w:rsidRPr="008C2120">
        <w:rPr>
          <w:rFonts w:ascii="Times New Roman" w:eastAsia="Times New Roman" w:hAnsi="Times New Roman" w:cs="Times New Roman"/>
          <w:bCs/>
          <w:sz w:val="24"/>
          <w:szCs w:val="24"/>
          <w:lang w:val="en-US"/>
        </w:rPr>
        <w:t xml:space="preserve"> by the status of a qualifying central counterparty requiring  fulfillment of a number of firm regulat</w:t>
      </w:r>
      <w:r w:rsidR="00506421">
        <w:rPr>
          <w:rFonts w:ascii="Times New Roman" w:eastAsia="Times New Roman" w:hAnsi="Times New Roman" w:cs="Times New Roman"/>
          <w:bCs/>
          <w:sz w:val="24"/>
          <w:szCs w:val="24"/>
          <w:lang w:val="en-US"/>
        </w:rPr>
        <w:t>ory</w:t>
      </w:r>
      <w:r w:rsidRPr="008C2120">
        <w:rPr>
          <w:rFonts w:ascii="Times New Roman" w:eastAsia="Times New Roman" w:hAnsi="Times New Roman" w:cs="Times New Roman"/>
          <w:bCs/>
          <w:sz w:val="24"/>
          <w:szCs w:val="24"/>
          <w:lang w:val="en-US"/>
        </w:rPr>
        <w:t xml:space="preserve"> requirements to  active trades, </w:t>
      </w:r>
      <w:r w:rsidR="00506421">
        <w:rPr>
          <w:rFonts w:ascii="Times New Roman" w:eastAsia="Times New Roman" w:hAnsi="Times New Roman" w:cs="Times New Roman"/>
          <w:bCs/>
          <w:sz w:val="24"/>
          <w:szCs w:val="24"/>
          <w:lang w:val="en-US"/>
        </w:rPr>
        <w:t xml:space="preserve">and </w:t>
      </w:r>
      <w:r w:rsidRPr="008C2120">
        <w:rPr>
          <w:rFonts w:ascii="Times New Roman" w:eastAsia="Times New Roman" w:hAnsi="Times New Roman" w:cs="Times New Roman"/>
          <w:bCs/>
          <w:sz w:val="24"/>
          <w:szCs w:val="24"/>
          <w:lang w:val="en-US"/>
        </w:rPr>
        <w:t>on the other hand – by a qualitative change of clearing services as a result of large-scale business projects implementation.</w:t>
      </w:r>
    </w:p>
    <w:p w:rsidR="008C2120" w:rsidRPr="008C2120" w:rsidRDefault="008C2120" w:rsidP="008C2120">
      <w:pPr>
        <w:spacing w:after="120" w:line="240" w:lineRule="auto"/>
        <w:ind w:firstLine="567"/>
        <w:jc w:val="both"/>
        <w:rPr>
          <w:rFonts w:ascii="Times New Roman" w:eastAsia="Times New Roman" w:hAnsi="Times New Roman" w:cs="Times New Roman"/>
          <w:bCs/>
          <w:sz w:val="24"/>
          <w:szCs w:val="24"/>
          <w:lang w:val="en-US"/>
        </w:rPr>
      </w:pPr>
      <w:r w:rsidRPr="008C2120">
        <w:rPr>
          <w:rFonts w:ascii="Times New Roman" w:eastAsia="Times New Roman" w:hAnsi="Times New Roman" w:cs="Times New Roman"/>
          <w:bCs/>
          <w:sz w:val="24"/>
          <w:szCs w:val="24"/>
          <w:lang w:val="en-US"/>
        </w:rPr>
        <w:t xml:space="preserve">The main efforts of Treasury Division within centralized management of Moscow Exchange Group’s assets and liabilities in 2014 will be focused on further improvement of assets management. The necessity of that is </w:t>
      </w:r>
      <w:hyperlink r:id="rId13" w:history="1">
        <w:r w:rsidRPr="00D55472">
          <w:rPr>
            <w:rFonts w:ascii="Times New Roman" w:eastAsiaTheme="minorEastAsia" w:hAnsi="Times New Roman" w:cs="Times New Roman"/>
            <w:sz w:val="24"/>
            <w:szCs w:val="24"/>
            <w:lang w:val="en-US"/>
          </w:rPr>
          <w:t>primarily</w:t>
        </w:r>
      </w:hyperlink>
      <w:r w:rsidRPr="008C2120">
        <w:rPr>
          <w:rFonts w:ascii="Times New Roman" w:eastAsia="Times New Roman" w:hAnsi="Times New Roman" w:cs="Times New Roman"/>
          <w:bCs/>
          <w:sz w:val="24"/>
          <w:szCs w:val="24"/>
          <w:lang w:val="en-US"/>
        </w:rPr>
        <w:t xml:space="preserve"> connected with the change in the funds profile deposited by clearing members after implementation of trades with partial depositing in the securities market. Besides, changes making possible for clearing members to deposit different assets (foreign currency assets, securities, precious metals) as collateral for transactions </w:t>
      </w:r>
      <w:proofErr w:type="gramStart"/>
      <w:r w:rsidRPr="008C2120">
        <w:rPr>
          <w:rFonts w:ascii="Times New Roman" w:eastAsia="Times New Roman" w:hAnsi="Times New Roman" w:cs="Times New Roman"/>
          <w:bCs/>
          <w:sz w:val="24"/>
          <w:szCs w:val="24"/>
          <w:lang w:val="en-US"/>
        </w:rPr>
        <w:t xml:space="preserve">of  </w:t>
      </w:r>
      <w:proofErr w:type="spellStart"/>
      <w:r w:rsidRPr="008C2120">
        <w:rPr>
          <w:rFonts w:ascii="Times New Roman" w:eastAsia="Times New Roman" w:hAnsi="Times New Roman" w:cs="Times New Roman"/>
          <w:bCs/>
          <w:sz w:val="24"/>
          <w:szCs w:val="24"/>
          <w:lang w:val="en-US"/>
        </w:rPr>
        <w:t>rouble</w:t>
      </w:r>
      <w:proofErr w:type="spellEnd"/>
      <w:proofErr w:type="gramEnd"/>
      <w:r w:rsidRPr="008C2120">
        <w:rPr>
          <w:rFonts w:ascii="Times New Roman" w:eastAsia="Times New Roman" w:hAnsi="Times New Roman" w:cs="Times New Roman"/>
          <w:bCs/>
          <w:sz w:val="24"/>
          <w:szCs w:val="24"/>
          <w:lang w:val="en-US"/>
        </w:rPr>
        <w:t xml:space="preserve"> instruments are expected to be introduced that will also result in the change of the liabilities’ profile. Improvement of the assets management system in the contest of a changing liabilities’ base will become a natural element of transition to the unified collateral in all the markets where NCC is the central counterparty.</w:t>
      </w:r>
    </w:p>
    <w:p w:rsidR="008C2120" w:rsidRPr="008C2120" w:rsidRDefault="008C2120" w:rsidP="008C2120">
      <w:pPr>
        <w:spacing w:after="120" w:line="240" w:lineRule="auto"/>
        <w:ind w:firstLine="567"/>
        <w:jc w:val="both"/>
        <w:rPr>
          <w:rFonts w:ascii="Times New Roman" w:eastAsia="Times New Roman" w:hAnsi="Times New Roman" w:cs="Times New Roman"/>
          <w:bCs/>
          <w:sz w:val="24"/>
          <w:szCs w:val="24"/>
          <w:lang w:val="en-US"/>
        </w:rPr>
      </w:pPr>
      <w:r w:rsidRPr="008C2120">
        <w:rPr>
          <w:rFonts w:ascii="Times New Roman" w:eastAsia="Times New Roman" w:hAnsi="Times New Roman" w:cs="Times New Roman"/>
          <w:bCs/>
          <w:sz w:val="24"/>
          <w:szCs w:val="24"/>
          <w:lang w:val="en-US"/>
        </w:rPr>
        <w:t xml:space="preserve">The change in the liabilities’ profile (primarily decline in the share of the </w:t>
      </w:r>
      <w:proofErr w:type="spellStart"/>
      <w:r w:rsidRPr="008C2120">
        <w:rPr>
          <w:rFonts w:ascii="Times New Roman" w:eastAsia="Times New Roman" w:hAnsi="Times New Roman" w:cs="Times New Roman"/>
          <w:bCs/>
          <w:sz w:val="24"/>
          <w:szCs w:val="24"/>
          <w:lang w:val="en-US"/>
        </w:rPr>
        <w:t>rouble</w:t>
      </w:r>
      <w:proofErr w:type="spellEnd"/>
      <w:r w:rsidRPr="008C2120">
        <w:rPr>
          <w:rFonts w:ascii="Times New Roman" w:eastAsia="Times New Roman" w:hAnsi="Times New Roman" w:cs="Times New Roman"/>
          <w:bCs/>
          <w:sz w:val="24"/>
          <w:szCs w:val="24"/>
          <w:lang w:val="en-US"/>
        </w:rPr>
        <w:t xml:space="preserve"> collateral) along with restrictions of investment activity </w:t>
      </w:r>
      <w:proofErr w:type="gramStart"/>
      <w:r w:rsidRPr="008C2120">
        <w:rPr>
          <w:rFonts w:ascii="Times New Roman" w:eastAsia="Times New Roman" w:hAnsi="Times New Roman" w:cs="Times New Roman"/>
          <w:bCs/>
          <w:sz w:val="24"/>
          <w:szCs w:val="24"/>
          <w:lang w:val="en-US"/>
        </w:rPr>
        <w:t>applied  to</w:t>
      </w:r>
      <w:proofErr w:type="gramEnd"/>
      <w:r w:rsidRPr="008C2120">
        <w:rPr>
          <w:rFonts w:ascii="Times New Roman" w:eastAsia="Times New Roman" w:hAnsi="Times New Roman" w:cs="Times New Roman"/>
          <w:bCs/>
          <w:sz w:val="24"/>
          <w:szCs w:val="24"/>
          <w:lang w:val="en-US"/>
        </w:rPr>
        <w:t xml:space="preserve"> NCC as the central counterparty by the internal risks management system and the regulator – Bank of Russia will require change of the strategy and quantitative ratio of investments into the financial instruments in order to get interest income. </w:t>
      </w:r>
      <w:r w:rsidR="001851F5">
        <w:rPr>
          <w:rFonts w:ascii="Times New Roman" w:eastAsia="Times New Roman" w:hAnsi="Times New Roman" w:cs="Times New Roman"/>
          <w:bCs/>
          <w:sz w:val="24"/>
          <w:szCs w:val="24"/>
          <w:lang w:val="en-US"/>
        </w:rPr>
        <w:t>The s</w:t>
      </w:r>
      <w:r w:rsidRPr="008C2120">
        <w:rPr>
          <w:rFonts w:ascii="Times New Roman" w:eastAsia="Times New Roman" w:hAnsi="Times New Roman" w:cs="Times New Roman"/>
          <w:bCs/>
          <w:sz w:val="24"/>
          <w:szCs w:val="24"/>
          <w:lang w:val="en-US"/>
        </w:rPr>
        <w:t>ignificant attention will be paid to</w:t>
      </w:r>
      <w:r w:rsidR="006F0EDC">
        <w:rPr>
          <w:rFonts w:ascii="Times New Roman" w:eastAsia="Times New Roman" w:hAnsi="Times New Roman" w:cs="Times New Roman"/>
          <w:bCs/>
          <w:sz w:val="24"/>
          <w:szCs w:val="24"/>
          <w:lang w:val="en-US"/>
        </w:rPr>
        <w:t xml:space="preserve"> keep</w:t>
      </w:r>
      <w:r w:rsidRPr="008C2120">
        <w:rPr>
          <w:rFonts w:ascii="Times New Roman" w:eastAsia="Times New Roman" w:hAnsi="Times New Roman" w:cs="Times New Roman"/>
          <w:bCs/>
          <w:sz w:val="24"/>
          <w:szCs w:val="24"/>
          <w:lang w:val="en-US"/>
        </w:rPr>
        <w:t xml:space="preserve"> </w:t>
      </w:r>
      <w:r w:rsidR="006F0EDC">
        <w:rPr>
          <w:rFonts w:ascii="Times New Roman" w:eastAsia="Times New Roman" w:hAnsi="Times New Roman" w:cs="Times New Roman"/>
          <w:bCs/>
          <w:sz w:val="24"/>
          <w:szCs w:val="24"/>
          <w:lang w:val="en-US"/>
        </w:rPr>
        <w:t>an appropriate</w:t>
      </w:r>
      <w:r w:rsidRPr="008C2120">
        <w:rPr>
          <w:rFonts w:ascii="Times New Roman" w:eastAsia="Times New Roman" w:hAnsi="Times New Roman" w:cs="Times New Roman"/>
          <w:bCs/>
          <w:sz w:val="24"/>
          <w:szCs w:val="24"/>
          <w:lang w:val="en-US"/>
        </w:rPr>
        <w:t xml:space="preserve"> ratio of risk and profitability, good standing of the counterparties.</w:t>
      </w:r>
    </w:p>
    <w:p w:rsidR="008C2120" w:rsidRPr="008C2120" w:rsidRDefault="008C2120" w:rsidP="008C2120">
      <w:pPr>
        <w:spacing w:after="120" w:line="240" w:lineRule="auto"/>
        <w:ind w:firstLine="567"/>
        <w:jc w:val="both"/>
        <w:rPr>
          <w:rFonts w:ascii="Times New Roman" w:eastAsia="Times New Roman" w:hAnsi="Times New Roman" w:cs="Times New Roman"/>
          <w:bCs/>
          <w:sz w:val="24"/>
          <w:szCs w:val="24"/>
          <w:lang w:val="en-US"/>
        </w:rPr>
      </w:pPr>
      <w:r w:rsidRPr="008C2120">
        <w:rPr>
          <w:rFonts w:ascii="Times New Roman" w:eastAsia="Times New Roman" w:hAnsi="Times New Roman" w:cs="Times New Roman"/>
          <w:bCs/>
          <w:sz w:val="24"/>
          <w:szCs w:val="24"/>
          <w:lang w:val="en-US"/>
        </w:rPr>
        <w:t xml:space="preserve">Another important task of the Treasury Division in 2014 will be development of a default management system which shall stipulate the procedures of close-out netting, positions transferring in case of technical defaults and to define sources of refinancing   assets of deals which were accepted </w:t>
      </w:r>
      <w:proofErr w:type="gramStart"/>
      <w:r w:rsidRPr="008C2120">
        <w:rPr>
          <w:rFonts w:ascii="Times New Roman" w:eastAsia="Times New Roman" w:hAnsi="Times New Roman" w:cs="Times New Roman"/>
          <w:bCs/>
          <w:sz w:val="24"/>
          <w:szCs w:val="24"/>
          <w:lang w:val="en-US"/>
        </w:rPr>
        <w:t>fo</w:t>
      </w:r>
      <w:r w:rsidR="00970843">
        <w:rPr>
          <w:rFonts w:ascii="Times New Roman" w:eastAsia="Times New Roman" w:hAnsi="Times New Roman" w:cs="Times New Roman"/>
          <w:bCs/>
          <w:sz w:val="24"/>
          <w:szCs w:val="24"/>
          <w:lang w:val="en-US"/>
        </w:rPr>
        <w:t>r</w:t>
      </w:r>
      <w:r w:rsidRPr="008C2120">
        <w:rPr>
          <w:rFonts w:ascii="Times New Roman" w:eastAsia="Times New Roman" w:hAnsi="Times New Roman" w:cs="Times New Roman"/>
          <w:bCs/>
          <w:sz w:val="24"/>
          <w:szCs w:val="24"/>
          <w:lang w:val="en-US"/>
        </w:rPr>
        <w:t xml:space="preserve">  clearing</w:t>
      </w:r>
      <w:proofErr w:type="gramEnd"/>
      <w:r w:rsidRPr="008C2120">
        <w:rPr>
          <w:rFonts w:ascii="Times New Roman" w:eastAsia="Times New Roman" w:hAnsi="Times New Roman" w:cs="Times New Roman"/>
          <w:bCs/>
          <w:sz w:val="24"/>
          <w:szCs w:val="24"/>
          <w:lang w:val="en-US"/>
        </w:rPr>
        <w:t>.</w:t>
      </w:r>
    </w:p>
    <w:p w:rsidR="008C2120" w:rsidRPr="008C2120" w:rsidRDefault="008C2120" w:rsidP="008C2120">
      <w:pPr>
        <w:spacing w:after="120" w:line="240" w:lineRule="auto"/>
        <w:ind w:firstLine="567"/>
        <w:jc w:val="both"/>
        <w:rPr>
          <w:rFonts w:ascii="Times New Roman" w:eastAsia="Times New Roman" w:hAnsi="Times New Roman" w:cs="Times New Roman"/>
          <w:bCs/>
          <w:sz w:val="24"/>
          <w:szCs w:val="24"/>
          <w:lang w:val="en-US"/>
        </w:rPr>
      </w:pPr>
      <w:r w:rsidRPr="008C2120">
        <w:rPr>
          <w:rFonts w:ascii="Times New Roman" w:eastAsia="Times New Roman" w:hAnsi="Times New Roman" w:cs="Times New Roman"/>
          <w:bCs/>
          <w:sz w:val="24"/>
          <w:szCs w:val="24"/>
          <w:lang w:val="en-US"/>
        </w:rPr>
        <w:t>In order to expand refinancing sources REPO trades with clearing members and with Bank of Russia will be widely used.</w:t>
      </w:r>
    </w:p>
    <w:p w:rsidR="008C2120" w:rsidRPr="008C2120" w:rsidRDefault="008C2120" w:rsidP="008C2120">
      <w:pPr>
        <w:spacing w:after="120" w:line="240" w:lineRule="auto"/>
        <w:ind w:firstLine="567"/>
        <w:jc w:val="both"/>
        <w:rPr>
          <w:rFonts w:ascii="Times New Roman" w:eastAsia="Times New Roman" w:hAnsi="Times New Roman" w:cs="Times New Roman"/>
          <w:bCs/>
          <w:sz w:val="24"/>
          <w:szCs w:val="24"/>
          <w:lang w:val="en-US"/>
        </w:rPr>
      </w:pPr>
      <w:r w:rsidRPr="008C2120">
        <w:rPr>
          <w:rFonts w:ascii="Times New Roman" w:eastAsia="Times New Roman" w:hAnsi="Times New Roman" w:cs="Times New Roman"/>
          <w:bCs/>
          <w:sz w:val="24"/>
          <w:szCs w:val="24"/>
          <w:lang w:val="en-US"/>
        </w:rPr>
        <w:t xml:space="preserve">The Treasury Division will continue in 2014 flexible adjustment of assets management based on the changes of exchange instruments, clearing terms and settlements on them preserving the target function of getting interest income   </w:t>
      </w:r>
      <w:r w:rsidR="006F0EDC">
        <w:rPr>
          <w:rFonts w:ascii="Times New Roman" w:eastAsia="Times New Roman" w:hAnsi="Times New Roman" w:cs="Times New Roman"/>
          <w:bCs/>
          <w:sz w:val="24"/>
          <w:szCs w:val="24"/>
          <w:lang w:val="en-US"/>
        </w:rPr>
        <w:t xml:space="preserve">with </w:t>
      </w:r>
      <w:r w:rsidRPr="008C2120">
        <w:rPr>
          <w:rFonts w:ascii="Times New Roman" w:eastAsia="Times New Roman" w:hAnsi="Times New Roman" w:cs="Times New Roman"/>
          <w:bCs/>
          <w:sz w:val="24"/>
          <w:szCs w:val="24"/>
          <w:lang w:val="en-US"/>
        </w:rPr>
        <w:t>credit, market and other risks</w:t>
      </w:r>
      <w:r w:rsidR="006F0EDC">
        <w:rPr>
          <w:rFonts w:ascii="Times New Roman" w:eastAsia="Times New Roman" w:hAnsi="Times New Roman" w:cs="Times New Roman"/>
          <w:bCs/>
          <w:sz w:val="24"/>
          <w:szCs w:val="24"/>
          <w:lang w:val="en-US"/>
        </w:rPr>
        <w:t xml:space="preserve"> are at the optimal level</w:t>
      </w:r>
      <w:r w:rsidRPr="008C2120">
        <w:rPr>
          <w:rFonts w:ascii="Times New Roman" w:eastAsia="Times New Roman" w:hAnsi="Times New Roman" w:cs="Times New Roman"/>
          <w:bCs/>
          <w:sz w:val="24"/>
          <w:szCs w:val="24"/>
          <w:lang w:val="en-US"/>
        </w:rPr>
        <w:t>.</w:t>
      </w:r>
    </w:p>
    <w:p w:rsidR="008C2120" w:rsidRPr="008C2120" w:rsidRDefault="008C2120" w:rsidP="00BF056B">
      <w:pPr>
        <w:spacing w:after="120" w:line="240" w:lineRule="auto"/>
        <w:ind w:firstLine="567"/>
        <w:jc w:val="both"/>
        <w:rPr>
          <w:rFonts w:ascii="Times New Roman" w:eastAsia="Times New Roman" w:hAnsi="Times New Roman" w:cs="Times New Roman"/>
          <w:bCs/>
          <w:sz w:val="24"/>
          <w:szCs w:val="24"/>
          <w:lang w:val="en-US"/>
        </w:rPr>
      </w:pPr>
    </w:p>
    <w:p w:rsidR="008C2120" w:rsidRPr="00D55472" w:rsidRDefault="008C2120" w:rsidP="00BF056B">
      <w:pPr>
        <w:spacing w:after="120" w:line="240" w:lineRule="auto"/>
        <w:ind w:firstLine="567"/>
        <w:jc w:val="both"/>
        <w:rPr>
          <w:rFonts w:ascii="Times New Roman" w:eastAsia="Times New Roman" w:hAnsi="Times New Roman" w:cs="Times New Roman"/>
          <w:bCs/>
          <w:sz w:val="24"/>
          <w:szCs w:val="24"/>
          <w:lang w:val="en-US"/>
        </w:rPr>
      </w:pPr>
    </w:p>
    <w:p w:rsidR="008C2120" w:rsidRPr="00D55472" w:rsidRDefault="008C2120" w:rsidP="00BF056B">
      <w:pPr>
        <w:spacing w:after="120" w:line="240" w:lineRule="auto"/>
        <w:ind w:firstLine="567"/>
        <w:jc w:val="both"/>
        <w:rPr>
          <w:rFonts w:ascii="Times New Roman" w:eastAsia="Times New Roman" w:hAnsi="Times New Roman" w:cs="Times New Roman"/>
          <w:bCs/>
          <w:sz w:val="24"/>
          <w:szCs w:val="24"/>
          <w:lang w:val="en-US"/>
        </w:rPr>
      </w:pPr>
    </w:p>
    <w:p w:rsidR="008C2120" w:rsidRPr="00D55472" w:rsidRDefault="008C2120" w:rsidP="008C2120">
      <w:pPr>
        <w:pStyle w:val="a8"/>
        <w:spacing w:after="120"/>
        <w:ind w:firstLine="567"/>
        <w:jc w:val="both"/>
        <w:rPr>
          <w:rFonts w:ascii="Times New Roman" w:eastAsia="Times New Roman" w:hAnsi="Times New Roman" w:cs="Times New Roman"/>
          <w:bCs/>
          <w:sz w:val="24"/>
          <w:szCs w:val="24"/>
        </w:rPr>
      </w:pPr>
    </w:p>
    <w:p w:rsidR="00371CC9" w:rsidRPr="00D55472" w:rsidRDefault="00371CC9" w:rsidP="008C2120">
      <w:pPr>
        <w:pStyle w:val="a8"/>
        <w:spacing w:after="120"/>
        <w:ind w:firstLine="567"/>
        <w:jc w:val="both"/>
        <w:rPr>
          <w:rFonts w:ascii="Times New Roman" w:eastAsia="Times New Roman" w:hAnsi="Times New Roman" w:cs="Times New Roman"/>
          <w:bCs/>
          <w:sz w:val="24"/>
          <w:szCs w:val="24"/>
        </w:rPr>
      </w:pPr>
    </w:p>
    <w:p w:rsidR="00371CC9" w:rsidRPr="00CC3507" w:rsidRDefault="00371CC9" w:rsidP="00371CC9">
      <w:pPr>
        <w:keepNext/>
        <w:widowControl w:val="0"/>
        <w:overflowPunct w:val="0"/>
        <w:autoSpaceDE w:val="0"/>
        <w:autoSpaceDN w:val="0"/>
        <w:adjustRightInd w:val="0"/>
        <w:spacing w:before="100" w:after="240" w:line="240" w:lineRule="auto"/>
        <w:jc w:val="center"/>
        <w:textAlignment w:val="baseline"/>
        <w:outlineLvl w:val="0"/>
        <w:rPr>
          <w:rFonts w:ascii="Times New Roman" w:eastAsia="Times New Roman" w:hAnsi="Times New Roman" w:cs="Times New Roman"/>
          <w:b/>
          <w:bCs/>
          <w:kern w:val="32"/>
          <w:sz w:val="28"/>
          <w:szCs w:val="28"/>
          <w:lang w:val="en-US" w:eastAsia="ru-RU"/>
        </w:rPr>
      </w:pPr>
      <w:r w:rsidRPr="00CC3507">
        <w:rPr>
          <w:rFonts w:ascii="Times New Roman" w:eastAsia="Times New Roman" w:hAnsi="Times New Roman" w:cs="Times New Roman"/>
          <w:b/>
          <w:bCs/>
          <w:kern w:val="32"/>
          <w:sz w:val="28"/>
          <w:szCs w:val="28"/>
          <w:lang w:val="en-US" w:eastAsia="ru-RU"/>
        </w:rPr>
        <w:t>Main (priority) activities</w:t>
      </w:r>
    </w:p>
    <w:p w:rsidR="00371CC9" w:rsidRPr="00CC3507" w:rsidRDefault="00371CC9" w:rsidP="00371CC9">
      <w:pPr>
        <w:keepNext/>
        <w:widowControl w:val="0"/>
        <w:overflowPunct w:val="0"/>
        <w:autoSpaceDE w:val="0"/>
        <w:autoSpaceDN w:val="0"/>
        <w:adjustRightInd w:val="0"/>
        <w:spacing w:before="100" w:after="120" w:line="240" w:lineRule="auto"/>
        <w:jc w:val="center"/>
        <w:textAlignment w:val="baseline"/>
        <w:outlineLvl w:val="1"/>
        <w:rPr>
          <w:rFonts w:ascii="Times New Roman" w:eastAsia="Times New Roman" w:hAnsi="Times New Roman" w:cs="Times New Roman"/>
          <w:b/>
          <w:bCs/>
          <w:iCs/>
          <w:sz w:val="28"/>
          <w:szCs w:val="28"/>
          <w:lang w:val="en-US" w:eastAsia="ru-RU"/>
        </w:rPr>
      </w:pPr>
      <w:r w:rsidRPr="00CC3507">
        <w:rPr>
          <w:rFonts w:ascii="Times New Roman" w:eastAsia="Times New Roman" w:hAnsi="Times New Roman" w:cs="Times New Roman"/>
          <w:b/>
          <w:bCs/>
          <w:iCs/>
          <w:sz w:val="28"/>
          <w:szCs w:val="28"/>
          <w:lang w:val="en-US" w:eastAsia="ru-RU"/>
        </w:rPr>
        <w:t xml:space="preserve">5.1. Clearing on the foreign </w:t>
      </w:r>
      <w:proofErr w:type="gramStart"/>
      <w:r w:rsidRPr="00CC3507">
        <w:rPr>
          <w:rFonts w:ascii="Times New Roman" w:eastAsia="Times New Roman" w:hAnsi="Times New Roman" w:cs="Times New Roman"/>
          <w:b/>
          <w:bCs/>
          <w:iCs/>
          <w:sz w:val="28"/>
          <w:szCs w:val="28"/>
          <w:lang w:val="en-US" w:eastAsia="ru-RU"/>
        </w:rPr>
        <w:t>exchange  and</w:t>
      </w:r>
      <w:proofErr w:type="gramEnd"/>
      <w:r w:rsidRPr="00CC3507">
        <w:rPr>
          <w:rFonts w:ascii="Times New Roman" w:eastAsia="Times New Roman" w:hAnsi="Times New Roman" w:cs="Times New Roman"/>
          <w:b/>
          <w:bCs/>
          <w:iCs/>
          <w:sz w:val="28"/>
          <w:szCs w:val="28"/>
          <w:lang w:val="en-US" w:eastAsia="ru-RU"/>
        </w:rPr>
        <w:t xml:space="preserve"> the precious metals</w:t>
      </w:r>
      <w:r>
        <w:rPr>
          <w:rFonts w:ascii="Times New Roman" w:eastAsia="Times New Roman" w:hAnsi="Times New Roman" w:cs="Times New Roman"/>
          <w:b/>
          <w:bCs/>
          <w:iCs/>
          <w:sz w:val="28"/>
          <w:szCs w:val="28"/>
          <w:lang w:val="en-US" w:eastAsia="ru-RU"/>
        </w:rPr>
        <w:t xml:space="preserve"> market </w:t>
      </w:r>
    </w:p>
    <w:p w:rsidR="00371CC9" w:rsidRPr="00CC3507" w:rsidRDefault="00371CC9" w:rsidP="00371CC9">
      <w:pPr>
        <w:widowControl w:val="0"/>
        <w:tabs>
          <w:tab w:val="num" w:pos="720"/>
        </w:tabs>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rPr>
      </w:pPr>
      <w:r w:rsidRPr="00CC3507">
        <w:rPr>
          <w:rFonts w:ascii="Times New Roman" w:hAnsi="Times New Roman" w:cs="Times New Roman"/>
          <w:bCs/>
          <w:sz w:val="24"/>
          <w:szCs w:val="24"/>
          <w:lang w:val="en-US" w:eastAsia="ru-RU"/>
        </w:rPr>
        <w:t xml:space="preserve">The </w:t>
      </w:r>
      <w:r w:rsidRPr="00CC3507">
        <w:rPr>
          <w:rFonts w:ascii="Times New Roman" w:hAnsi="Times New Roman" w:cs="Times New Roman"/>
          <w:sz w:val="24"/>
          <w:szCs w:val="24"/>
          <w:lang w:val="en-US"/>
        </w:rPr>
        <w:t>foreign exchange</w:t>
      </w:r>
      <w:r w:rsidRPr="00CC3507">
        <w:rPr>
          <w:rFonts w:ascii="Times New Roman" w:hAnsi="Times New Roman" w:cs="Times New Roman"/>
          <w:bCs/>
          <w:sz w:val="24"/>
          <w:szCs w:val="24"/>
          <w:lang w:val="en-US" w:eastAsia="ru-RU"/>
        </w:rPr>
        <w:t xml:space="preserve"> and the precious metals</w:t>
      </w:r>
      <w:r>
        <w:rPr>
          <w:rFonts w:ascii="Times New Roman" w:hAnsi="Times New Roman" w:cs="Times New Roman"/>
          <w:bCs/>
          <w:sz w:val="24"/>
          <w:szCs w:val="24"/>
          <w:lang w:val="en-US" w:eastAsia="ru-RU"/>
        </w:rPr>
        <w:t xml:space="preserve"> </w:t>
      </w:r>
      <w:proofErr w:type="gramStart"/>
      <w:r>
        <w:rPr>
          <w:rFonts w:ascii="Times New Roman" w:hAnsi="Times New Roman" w:cs="Times New Roman"/>
          <w:bCs/>
          <w:sz w:val="24"/>
          <w:szCs w:val="24"/>
          <w:lang w:val="en-US" w:eastAsia="ru-RU"/>
        </w:rPr>
        <w:t xml:space="preserve">market  </w:t>
      </w:r>
      <w:r w:rsidRPr="00CC3507">
        <w:rPr>
          <w:rFonts w:ascii="Times New Roman" w:hAnsi="Times New Roman" w:cs="Times New Roman"/>
          <w:bCs/>
          <w:sz w:val="24"/>
          <w:szCs w:val="24"/>
          <w:lang w:val="en-US" w:eastAsia="ru-RU"/>
        </w:rPr>
        <w:t>of</w:t>
      </w:r>
      <w:proofErr w:type="gramEnd"/>
      <w:r w:rsidRPr="00CC3507">
        <w:rPr>
          <w:rFonts w:ascii="Times New Roman" w:hAnsi="Times New Roman" w:cs="Times New Roman"/>
          <w:bCs/>
          <w:sz w:val="24"/>
          <w:szCs w:val="24"/>
          <w:lang w:val="en-US" w:eastAsia="ru-RU"/>
        </w:rPr>
        <w:t xml:space="preserve"> the Group is a modern exchange market </w:t>
      </w:r>
      <w:r w:rsidRPr="00CC3507">
        <w:rPr>
          <w:rFonts w:ascii="Times New Roman" w:hAnsi="Times New Roman" w:cs="Times New Roman"/>
          <w:sz w:val="24"/>
          <w:szCs w:val="24"/>
          <w:lang w:val="en-US"/>
        </w:rPr>
        <w:t xml:space="preserve">that meets all necessary legal standards and </w:t>
      </w:r>
      <w:r>
        <w:rPr>
          <w:rFonts w:ascii="Times New Roman" w:hAnsi="Times New Roman" w:cs="Times New Roman"/>
          <w:sz w:val="24"/>
          <w:szCs w:val="24"/>
          <w:lang w:val="en-US"/>
        </w:rPr>
        <w:t xml:space="preserve">advanced </w:t>
      </w:r>
      <w:r w:rsidRPr="00CC3507">
        <w:rPr>
          <w:rFonts w:ascii="Times New Roman" w:hAnsi="Times New Roman" w:cs="Times New Roman"/>
          <w:sz w:val="24"/>
          <w:szCs w:val="24"/>
          <w:lang w:val="en-US"/>
        </w:rPr>
        <w:t xml:space="preserve">technological requirements. Trading in Russian currency and the world's major currencies is concentrated on this market. Trading in precious metals also develops on this market, on the condition of the use of unified technologies of the exchange and clearing service. NCC carries out clearing on the FX market and the market of precious metals on spot trades and swap trades, concluded with </w:t>
      </w:r>
      <w:r w:rsidR="001267AF">
        <w:rPr>
          <w:rFonts w:ascii="Times New Roman" w:hAnsi="Times New Roman" w:cs="Times New Roman"/>
          <w:sz w:val="24"/>
          <w:szCs w:val="24"/>
          <w:lang w:val="en-US"/>
        </w:rPr>
        <w:t xml:space="preserve">the </w:t>
      </w:r>
      <w:r w:rsidRPr="00CC3507">
        <w:rPr>
          <w:rFonts w:ascii="Times New Roman" w:hAnsi="Times New Roman" w:cs="Times New Roman"/>
          <w:sz w:val="24"/>
          <w:szCs w:val="24"/>
          <w:lang w:val="en-US"/>
        </w:rPr>
        <w:t>full</w:t>
      </w:r>
      <w:r w:rsidRPr="00D9530A">
        <w:rPr>
          <w:lang w:val="en-US"/>
        </w:rPr>
        <w:t xml:space="preserve"> </w:t>
      </w:r>
      <w:hyperlink r:id="rId14" w:history="1">
        <w:r w:rsidRPr="00D9530A">
          <w:rPr>
            <w:rFonts w:ascii="Times New Roman" w:hAnsi="Times New Roman" w:cs="Times New Roman"/>
            <w:lang w:val="en-US"/>
          </w:rPr>
          <w:t>preliminary</w:t>
        </w:r>
      </w:hyperlink>
      <w:r w:rsidRPr="00183062">
        <w:rPr>
          <w:rFonts w:ascii="Times New Roman" w:hAnsi="Times New Roman" w:cs="Times New Roman"/>
          <w:sz w:val="24"/>
          <w:szCs w:val="24"/>
          <w:lang w:val="en-US"/>
        </w:rPr>
        <w:t xml:space="preserve"> </w:t>
      </w:r>
      <w:r w:rsidRPr="00CC3507">
        <w:rPr>
          <w:rFonts w:ascii="Times New Roman" w:hAnsi="Times New Roman" w:cs="Times New Roman"/>
          <w:sz w:val="24"/>
          <w:szCs w:val="24"/>
          <w:lang w:val="en-US"/>
        </w:rPr>
        <w:t xml:space="preserve">collateral and the partial </w:t>
      </w:r>
      <w:hyperlink r:id="rId15" w:history="1">
        <w:r w:rsidRPr="00D9530A">
          <w:rPr>
            <w:rFonts w:ascii="Times New Roman" w:hAnsi="Times New Roman" w:cs="Times New Roman"/>
            <w:lang w:val="en-US"/>
          </w:rPr>
          <w:t>preliminary</w:t>
        </w:r>
      </w:hyperlink>
      <w:r w:rsidRPr="00CC3507">
        <w:rPr>
          <w:rFonts w:ascii="Times New Roman" w:hAnsi="Times New Roman" w:cs="Times New Roman"/>
          <w:sz w:val="24"/>
          <w:szCs w:val="24"/>
          <w:lang w:val="en-US"/>
        </w:rPr>
        <w:t xml:space="preserve"> collateral. Cash resources in Russian </w:t>
      </w:r>
      <w:proofErr w:type="spellStart"/>
      <w:r w:rsidRPr="00CC3507">
        <w:rPr>
          <w:rFonts w:ascii="Times New Roman" w:hAnsi="Times New Roman" w:cs="Times New Roman"/>
          <w:sz w:val="24"/>
          <w:szCs w:val="24"/>
          <w:lang w:val="en-US"/>
        </w:rPr>
        <w:t>roubles</w:t>
      </w:r>
      <w:proofErr w:type="spellEnd"/>
      <w:r w:rsidRPr="00CC3507">
        <w:rPr>
          <w:rFonts w:ascii="Times New Roman" w:hAnsi="Times New Roman" w:cs="Times New Roman"/>
          <w:sz w:val="24"/>
          <w:szCs w:val="24"/>
          <w:lang w:val="en-US"/>
        </w:rPr>
        <w:t xml:space="preserve">, US dollars, euro and Chinese </w:t>
      </w:r>
      <w:proofErr w:type="spellStart"/>
      <w:r w:rsidRPr="00CC3507">
        <w:rPr>
          <w:rFonts w:ascii="Times New Roman" w:hAnsi="Times New Roman" w:cs="Times New Roman"/>
          <w:sz w:val="24"/>
          <w:szCs w:val="24"/>
          <w:lang w:val="en-US"/>
        </w:rPr>
        <w:t>yuans</w:t>
      </w:r>
      <w:proofErr w:type="spellEnd"/>
      <w:r w:rsidRPr="00CC3507">
        <w:rPr>
          <w:rFonts w:ascii="Times New Roman" w:hAnsi="Times New Roman" w:cs="Times New Roman"/>
          <w:sz w:val="24"/>
          <w:szCs w:val="24"/>
          <w:lang w:val="en-US"/>
        </w:rPr>
        <w:t xml:space="preserve">, as well as precious metals (gold and silver) are accepted as </w:t>
      </w:r>
      <w:r w:rsidR="001267AF">
        <w:rPr>
          <w:rFonts w:ascii="Times New Roman" w:hAnsi="Times New Roman" w:cs="Times New Roman"/>
          <w:sz w:val="24"/>
          <w:szCs w:val="24"/>
          <w:lang w:val="en-US"/>
        </w:rPr>
        <w:t xml:space="preserve">the </w:t>
      </w:r>
      <w:r w:rsidRPr="00CC3507">
        <w:rPr>
          <w:rFonts w:ascii="Times New Roman" w:hAnsi="Times New Roman" w:cs="Times New Roman"/>
          <w:sz w:val="24"/>
          <w:szCs w:val="24"/>
          <w:lang w:val="en-US"/>
        </w:rPr>
        <w:t xml:space="preserve">clearing collateral. Trading on the foreign exchange market and </w:t>
      </w:r>
      <w:r w:rsidRPr="00CC3507">
        <w:rPr>
          <w:rFonts w:ascii="Times New Roman" w:hAnsi="Times New Roman" w:cs="Times New Roman"/>
          <w:bCs/>
          <w:sz w:val="24"/>
          <w:szCs w:val="24"/>
          <w:lang w:val="en-US" w:eastAsia="ru-RU"/>
        </w:rPr>
        <w:t xml:space="preserve">the market of precious metals </w:t>
      </w:r>
      <w:r w:rsidRPr="00CC3507">
        <w:rPr>
          <w:rFonts w:ascii="Times New Roman" w:hAnsi="Times New Roman" w:cs="Times New Roman"/>
          <w:sz w:val="24"/>
          <w:szCs w:val="24"/>
          <w:lang w:val="en-US"/>
        </w:rPr>
        <w:t xml:space="preserve">is carried out both in the anonymous and in the negotiation modes. </w:t>
      </w:r>
    </w:p>
    <w:p w:rsidR="00371CC9" w:rsidRPr="00CC3507" w:rsidRDefault="00371CC9" w:rsidP="00371CC9">
      <w:pPr>
        <w:spacing w:after="120" w:line="240" w:lineRule="auto"/>
        <w:ind w:firstLine="567"/>
        <w:jc w:val="both"/>
        <w:rPr>
          <w:rFonts w:ascii="Times New Roman" w:eastAsia="Times New Roman" w:hAnsi="Times New Roman" w:cs="Times New Roman"/>
          <w:sz w:val="24"/>
          <w:szCs w:val="24"/>
          <w:lang w:val="en-US"/>
        </w:rPr>
      </w:pPr>
      <w:r w:rsidRPr="00CC3507">
        <w:rPr>
          <w:rFonts w:ascii="Times New Roman" w:hAnsi="Times New Roman" w:cs="Times New Roman"/>
          <w:sz w:val="24"/>
          <w:szCs w:val="24"/>
          <w:lang w:val="en-US"/>
        </w:rPr>
        <w:t xml:space="preserve">The full range of trades is settled with the participation of NCC as </w:t>
      </w:r>
      <w:r w:rsidR="001267AF">
        <w:rPr>
          <w:rFonts w:ascii="Times New Roman" w:hAnsi="Times New Roman" w:cs="Times New Roman"/>
          <w:sz w:val="24"/>
          <w:szCs w:val="24"/>
          <w:lang w:val="en-US"/>
        </w:rPr>
        <w:t>a CCP</w:t>
      </w:r>
      <w:r w:rsidRPr="00CC3507">
        <w:rPr>
          <w:rFonts w:ascii="Times New Roman" w:hAnsi="Times New Roman" w:cs="Times New Roman"/>
          <w:sz w:val="24"/>
          <w:szCs w:val="24"/>
          <w:lang w:val="en-US"/>
        </w:rPr>
        <w:t xml:space="preserve">, which significantly reduces the participants’ risks and eliminates the necessity to define mutual limits. </w:t>
      </w:r>
    </w:p>
    <w:p w:rsidR="00371CC9" w:rsidRPr="00CC3507" w:rsidRDefault="00371CC9" w:rsidP="00371CC9">
      <w:pPr>
        <w:widowControl w:val="0"/>
        <w:overflowPunct w:val="0"/>
        <w:autoSpaceDE w:val="0"/>
        <w:autoSpaceDN w:val="0"/>
        <w:adjustRightInd w:val="0"/>
        <w:spacing w:after="120" w:line="240" w:lineRule="auto"/>
        <w:ind w:firstLine="567"/>
        <w:jc w:val="both"/>
        <w:textAlignment w:val="baseline"/>
        <w:rPr>
          <w:rFonts w:ascii="Times New Roman" w:hAnsi="Times New Roman" w:cs="Times New Roman"/>
          <w:sz w:val="24"/>
          <w:szCs w:val="24"/>
          <w:lang w:val="en-US"/>
        </w:rPr>
      </w:pPr>
      <w:r w:rsidRPr="00CC3507">
        <w:rPr>
          <w:rFonts w:ascii="Times New Roman" w:hAnsi="Times New Roman" w:cs="Times New Roman"/>
          <w:sz w:val="24"/>
          <w:szCs w:val="24"/>
          <w:lang w:val="en-US"/>
        </w:rPr>
        <w:t xml:space="preserve">NCC carries out the clearing on trades on the foreign </w:t>
      </w:r>
      <w:proofErr w:type="gramStart"/>
      <w:r w:rsidRPr="00CC3507">
        <w:rPr>
          <w:rFonts w:ascii="Times New Roman" w:hAnsi="Times New Roman" w:cs="Times New Roman"/>
          <w:sz w:val="24"/>
          <w:szCs w:val="24"/>
          <w:lang w:val="en-US"/>
        </w:rPr>
        <w:t>exchange  and</w:t>
      </w:r>
      <w:proofErr w:type="gramEnd"/>
      <w:r w:rsidRPr="00CC3507">
        <w:rPr>
          <w:rFonts w:ascii="Times New Roman" w:hAnsi="Times New Roman" w:cs="Times New Roman"/>
          <w:sz w:val="24"/>
          <w:szCs w:val="24"/>
          <w:lang w:val="en-US"/>
        </w:rPr>
        <w:t xml:space="preserve"> </w:t>
      </w:r>
      <w:r w:rsidRPr="00CC3507">
        <w:rPr>
          <w:rFonts w:ascii="Times New Roman" w:hAnsi="Times New Roman" w:cs="Times New Roman"/>
          <w:bCs/>
          <w:sz w:val="24"/>
          <w:szCs w:val="24"/>
          <w:lang w:val="en-US" w:eastAsia="ru-RU"/>
        </w:rPr>
        <w:t xml:space="preserve">the precious metals </w:t>
      </w:r>
      <w:r>
        <w:rPr>
          <w:rFonts w:ascii="Times New Roman" w:hAnsi="Times New Roman" w:cs="Times New Roman"/>
          <w:bCs/>
          <w:sz w:val="24"/>
          <w:szCs w:val="24"/>
          <w:lang w:val="en-US" w:eastAsia="ru-RU"/>
        </w:rPr>
        <w:t xml:space="preserve">market  </w:t>
      </w:r>
      <w:r w:rsidRPr="00CC3507">
        <w:rPr>
          <w:rFonts w:ascii="Times New Roman" w:hAnsi="Times New Roman" w:cs="Times New Roman"/>
          <w:sz w:val="24"/>
          <w:szCs w:val="24"/>
          <w:lang w:val="en-US"/>
        </w:rPr>
        <w:t>where settlements can be made:</w:t>
      </w:r>
    </w:p>
    <w:p w:rsidR="00371CC9" w:rsidRPr="00CC3507" w:rsidRDefault="00371CC9" w:rsidP="00371CC9">
      <w:pPr>
        <w:widowControl w:val="0"/>
        <w:numPr>
          <w:ilvl w:val="0"/>
          <w:numId w:val="3"/>
        </w:numPr>
        <w:overflowPunct w:val="0"/>
        <w:autoSpaceDE w:val="0"/>
        <w:autoSpaceDN w:val="0"/>
        <w:adjustRightInd w:val="0"/>
        <w:spacing w:after="120" w:line="240" w:lineRule="auto"/>
        <w:ind w:left="1134" w:hanging="425"/>
        <w:contextualSpacing/>
        <w:jc w:val="both"/>
        <w:textAlignment w:val="baseline"/>
        <w:rPr>
          <w:rFonts w:ascii="Times New Roman" w:eastAsia="Times New Roman" w:hAnsi="Times New Roman" w:cs="Times New Roman"/>
          <w:sz w:val="24"/>
          <w:szCs w:val="24"/>
          <w:lang w:val="en-US"/>
        </w:rPr>
      </w:pPr>
      <w:r w:rsidRPr="00CC3507">
        <w:rPr>
          <w:rFonts w:ascii="Times New Roman" w:hAnsi="Times New Roman" w:cs="Times New Roman"/>
          <w:sz w:val="24"/>
          <w:szCs w:val="24"/>
          <w:lang w:val="en-US"/>
        </w:rPr>
        <w:t xml:space="preserve">at the </w:t>
      </w:r>
      <w:r w:rsidR="001267AF">
        <w:rPr>
          <w:rFonts w:ascii="Times New Roman" w:hAnsi="Times New Roman" w:cs="Times New Roman"/>
          <w:sz w:val="24"/>
          <w:szCs w:val="24"/>
          <w:lang w:val="en-US"/>
        </w:rPr>
        <w:t>c</w:t>
      </w:r>
      <w:r w:rsidRPr="00CC3507">
        <w:rPr>
          <w:rFonts w:ascii="Times New Roman" w:hAnsi="Times New Roman" w:cs="Times New Roman"/>
          <w:sz w:val="24"/>
          <w:szCs w:val="24"/>
          <w:lang w:val="en-US"/>
        </w:rPr>
        <w:t xml:space="preserve">learing </w:t>
      </w:r>
      <w:r w:rsidR="001267AF">
        <w:rPr>
          <w:rFonts w:ascii="Times New Roman" w:hAnsi="Times New Roman" w:cs="Times New Roman"/>
          <w:sz w:val="24"/>
          <w:szCs w:val="24"/>
          <w:lang w:val="en-US"/>
        </w:rPr>
        <w:t>m</w:t>
      </w:r>
      <w:r w:rsidRPr="00CC3507">
        <w:rPr>
          <w:rFonts w:ascii="Times New Roman" w:hAnsi="Times New Roman" w:cs="Times New Roman"/>
          <w:sz w:val="24"/>
          <w:szCs w:val="24"/>
          <w:lang w:val="en-US"/>
        </w:rPr>
        <w:t xml:space="preserve">embers' expense; </w:t>
      </w:r>
    </w:p>
    <w:p w:rsidR="00371CC9" w:rsidRPr="00CC3507" w:rsidRDefault="00371CC9" w:rsidP="00371CC9">
      <w:pPr>
        <w:widowControl w:val="0"/>
        <w:numPr>
          <w:ilvl w:val="0"/>
          <w:numId w:val="3"/>
        </w:numPr>
        <w:overflowPunct w:val="0"/>
        <w:autoSpaceDE w:val="0"/>
        <w:autoSpaceDN w:val="0"/>
        <w:adjustRightInd w:val="0"/>
        <w:spacing w:after="120" w:line="240" w:lineRule="auto"/>
        <w:ind w:left="1134" w:hanging="425"/>
        <w:contextualSpacing/>
        <w:jc w:val="both"/>
        <w:textAlignment w:val="baseline"/>
        <w:rPr>
          <w:rFonts w:ascii="Times New Roman" w:eastAsia="Times New Roman" w:hAnsi="Times New Roman" w:cs="Times New Roman"/>
          <w:sz w:val="24"/>
          <w:szCs w:val="24"/>
          <w:lang w:val="en-US"/>
        </w:rPr>
      </w:pPr>
      <w:r w:rsidRPr="00CC3507">
        <w:rPr>
          <w:rFonts w:ascii="Times New Roman" w:hAnsi="Times New Roman" w:cs="Times New Roman"/>
          <w:sz w:val="24"/>
          <w:szCs w:val="24"/>
          <w:lang w:val="en-US"/>
        </w:rPr>
        <w:t xml:space="preserve">at the expense of the </w:t>
      </w:r>
      <w:r w:rsidR="001267AF">
        <w:rPr>
          <w:rFonts w:ascii="Times New Roman" w:hAnsi="Times New Roman" w:cs="Times New Roman"/>
          <w:sz w:val="24"/>
          <w:szCs w:val="24"/>
          <w:lang w:val="en-US"/>
        </w:rPr>
        <w:t>c</w:t>
      </w:r>
      <w:r w:rsidRPr="00CC3507">
        <w:rPr>
          <w:rFonts w:ascii="Times New Roman" w:hAnsi="Times New Roman" w:cs="Times New Roman"/>
          <w:sz w:val="24"/>
          <w:szCs w:val="24"/>
          <w:lang w:val="en-US"/>
        </w:rPr>
        <w:t xml:space="preserve">lients of </w:t>
      </w:r>
      <w:r w:rsidR="001267AF">
        <w:rPr>
          <w:rFonts w:ascii="Times New Roman" w:hAnsi="Times New Roman" w:cs="Times New Roman"/>
          <w:sz w:val="24"/>
          <w:szCs w:val="24"/>
          <w:lang w:val="en-US"/>
        </w:rPr>
        <w:t>c</w:t>
      </w:r>
      <w:r w:rsidRPr="00CC3507">
        <w:rPr>
          <w:rFonts w:ascii="Times New Roman" w:hAnsi="Times New Roman" w:cs="Times New Roman"/>
          <w:sz w:val="24"/>
          <w:szCs w:val="24"/>
          <w:lang w:val="en-US"/>
        </w:rPr>
        <w:t xml:space="preserve">learing </w:t>
      </w:r>
      <w:r w:rsidR="001267AF">
        <w:rPr>
          <w:rFonts w:ascii="Times New Roman" w:hAnsi="Times New Roman" w:cs="Times New Roman"/>
          <w:sz w:val="24"/>
          <w:szCs w:val="24"/>
          <w:lang w:val="en-US"/>
        </w:rPr>
        <w:t>m</w:t>
      </w:r>
      <w:r w:rsidRPr="00CC3507">
        <w:rPr>
          <w:rFonts w:ascii="Times New Roman" w:hAnsi="Times New Roman" w:cs="Times New Roman"/>
          <w:sz w:val="24"/>
          <w:szCs w:val="24"/>
          <w:lang w:val="en-US"/>
        </w:rPr>
        <w:t>embers;</w:t>
      </w:r>
    </w:p>
    <w:p w:rsidR="00371CC9" w:rsidRPr="00CC3507" w:rsidRDefault="00371CC9" w:rsidP="00371CC9">
      <w:pPr>
        <w:widowControl w:val="0"/>
        <w:numPr>
          <w:ilvl w:val="0"/>
          <w:numId w:val="3"/>
        </w:numPr>
        <w:overflowPunct w:val="0"/>
        <w:autoSpaceDE w:val="0"/>
        <w:autoSpaceDN w:val="0"/>
        <w:adjustRightInd w:val="0"/>
        <w:spacing w:after="240" w:line="240" w:lineRule="auto"/>
        <w:ind w:left="1134" w:hanging="425"/>
        <w:jc w:val="both"/>
        <w:textAlignment w:val="baseline"/>
        <w:rPr>
          <w:rFonts w:ascii="Times New Roman" w:eastAsia="Times New Roman" w:hAnsi="Times New Roman" w:cs="Times New Roman"/>
          <w:sz w:val="24"/>
          <w:szCs w:val="24"/>
          <w:lang w:val="en-US"/>
        </w:rPr>
      </w:pPr>
      <w:proofErr w:type="gramStart"/>
      <w:r w:rsidRPr="00CC3507">
        <w:rPr>
          <w:rFonts w:ascii="Times New Roman" w:hAnsi="Times New Roman" w:cs="Times New Roman"/>
          <w:sz w:val="24"/>
          <w:szCs w:val="24"/>
          <w:lang w:val="en-US"/>
        </w:rPr>
        <w:t>at</w:t>
      </w:r>
      <w:proofErr w:type="gramEnd"/>
      <w:r w:rsidRPr="00CC3507">
        <w:rPr>
          <w:rFonts w:ascii="Times New Roman" w:hAnsi="Times New Roman" w:cs="Times New Roman"/>
          <w:sz w:val="24"/>
          <w:szCs w:val="24"/>
          <w:lang w:val="en-US"/>
        </w:rPr>
        <w:t xml:space="preserve"> the expense of funds in trust management of </w:t>
      </w:r>
      <w:r w:rsidR="001267AF">
        <w:rPr>
          <w:rFonts w:ascii="Times New Roman" w:hAnsi="Times New Roman" w:cs="Times New Roman"/>
          <w:sz w:val="24"/>
          <w:szCs w:val="24"/>
          <w:lang w:val="en-US"/>
        </w:rPr>
        <w:t>c</w:t>
      </w:r>
      <w:r w:rsidRPr="00CC3507">
        <w:rPr>
          <w:rFonts w:ascii="Times New Roman" w:hAnsi="Times New Roman" w:cs="Times New Roman"/>
          <w:sz w:val="24"/>
          <w:szCs w:val="24"/>
          <w:lang w:val="en-US"/>
        </w:rPr>
        <w:t xml:space="preserve">learing </w:t>
      </w:r>
      <w:r w:rsidR="001267AF">
        <w:rPr>
          <w:rFonts w:ascii="Times New Roman" w:hAnsi="Times New Roman" w:cs="Times New Roman"/>
          <w:sz w:val="24"/>
          <w:szCs w:val="24"/>
          <w:lang w:val="en-US"/>
        </w:rPr>
        <w:t>m</w:t>
      </w:r>
      <w:r w:rsidRPr="00CC3507">
        <w:rPr>
          <w:rFonts w:ascii="Times New Roman" w:hAnsi="Times New Roman" w:cs="Times New Roman"/>
          <w:sz w:val="24"/>
          <w:szCs w:val="24"/>
          <w:lang w:val="en-US"/>
        </w:rPr>
        <w:t>embers.</w:t>
      </w:r>
    </w:p>
    <w:p w:rsidR="00371CC9" w:rsidRPr="00CC3507" w:rsidRDefault="00371CC9" w:rsidP="00371CC9">
      <w:pPr>
        <w:spacing w:after="120" w:line="240" w:lineRule="auto"/>
        <w:ind w:firstLine="567"/>
        <w:jc w:val="both"/>
        <w:rPr>
          <w:rFonts w:ascii="Times New Roman" w:hAnsi="Times New Roman" w:cs="Times New Roman"/>
          <w:sz w:val="24"/>
          <w:szCs w:val="24"/>
          <w:lang w:val="en-US"/>
        </w:rPr>
      </w:pPr>
      <w:r w:rsidRPr="00CC3507">
        <w:rPr>
          <w:rFonts w:ascii="Times New Roman" w:hAnsi="Times New Roman" w:cs="Times New Roman"/>
          <w:sz w:val="24"/>
          <w:szCs w:val="24"/>
          <w:lang w:val="en-US"/>
        </w:rPr>
        <w:t xml:space="preserve"> National Clearing Centre carries out the clearing </w:t>
      </w:r>
      <w:r w:rsidR="001267AF">
        <w:rPr>
          <w:rFonts w:ascii="Times New Roman" w:hAnsi="Times New Roman" w:cs="Times New Roman"/>
          <w:sz w:val="24"/>
          <w:szCs w:val="24"/>
          <w:lang w:val="en-US"/>
        </w:rPr>
        <w:t>on the</w:t>
      </w:r>
      <w:r w:rsidRPr="00CC3507">
        <w:rPr>
          <w:rFonts w:ascii="Times New Roman" w:hAnsi="Times New Roman" w:cs="Times New Roman"/>
          <w:sz w:val="24"/>
          <w:szCs w:val="24"/>
          <w:lang w:val="en-US"/>
        </w:rPr>
        <w:t xml:space="preserve"> FX market with </w:t>
      </w:r>
      <w:r w:rsidR="001267AF">
        <w:rPr>
          <w:rFonts w:ascii="Times New Roman" w:hAnsi="Times New Roman" w:cs="Times New Roman"/>
          <w:sz w:val="24"/>
          <w:szCs w:val="24"/>
          <w:lang w:val="en-US"/>
        </w:rPr>
        <w:t xml:space="preserve">the </w:t>
      </w:r>
      <w:r w:rsidRPr="00CC3507">
        <w:rPr>
          <w:rFonts w:ascii="Times New Roman" w:hAnsi="Times New Roman" w:cs="Times New Roman"/>
          <w:sz w:val="24"/>
          <w:szCs w:val="24"/>
          <w:lang w:val="en-US"/>
        </w:rPr>
        <w:t>partial collateral for the following instruments:</w:t>
      </w:r>
    </w:p>
    <w:p w:rsidR="00371CC9" w:rsidRPr="00CC3507" w:rsidRDefault="00371CC9" w:rsidP="00371CC9">
      <w:pPr>
        <w:spacing w:after="0" w:line="240" w:lineRule="auto"/>
        <w:ind w:firstLine="567"/>
        <w:jc w:val="both"/>
        <w:rPr>
          <w:rFonts w:ascii="Times New Roman" w:hAnsi="Times New Roman" w:cs="Times New Roman"/>
          <w:sz w:val="2"/>
          <w:szCs w:val="2"/>
          <w:lang w:val="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521"/>
        <w:gridCol w:w="2268"/>
      </w:tblGrid>
      <w:tr w:rsidR="00371CC9" w:rsidRPr="00CC3507" w:rsidTr="00371CC9">
        <w:trPr>
          <w:cantSplit/>
          <w:tblHeader/>
        </w:trPr>
        <w:tc>
          <w:tcPr>
            <w:tcW w:w="851" w:type="dxa"/>
            <w:vAlign w:val="center"/>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b/>
                <w:sz w:val="24"/>
                <w:szCs w:val="24"/>
                <w:lang w:val="en-US" w:eastAsia="ru-RU"/>
              </w:rPr>
            </w:pPr>
            <w:r w:rsidRPr="00CC3507">
              <w:rPr>
                <w:rFonts w:ascii="Times New Roman" w:eastAsia="Times New Roman" w:hAnsi="Times New Roman" w:cs="Times New Roman"/>
                <w:b/>
                <w:sz w:val="24"/>
                <w:szCs w:val="24"/>
                <w:lang w:val="en-US" w:eastAsia="ru-RU"/>
              </w:rPr>
              <w:t>No.</w:t>
            </w:r>
          </w:p>
        </w:tc>
        <w:tc>
          <w:tcPr>
            <w:tcW w:w="6521" w:type="dxa"/>
            <w:vAlign w:val="center"/>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b/>
                <w:sz w:val="24"/>
                <w:szCs w:val="24"/>
                <w:lang w:val="en-US" w:eastAsia="ru-RU"/>
              </w:rPr>
            </w:pPr>
            <w:r w:rsidRPr="00CC3507">
              <w:rPr>
                <w:rFonts w:ascii="Times New Roman" w:eastAsia="Times New Roman" w:hAnsi="Times New Roman" w:cs="Times New Roman"/>
                <w:b/>
                <w:sz w:val="24"/>
                <w:szCs w:val="24"/>
                <w:lang w:val="en-US" w:eastAsia="ru-RU"/>
              </w:rPr>
              <w:t>Instrument description</w:t>
            </w:r>
          </w:p>
        </w:tc>
        <w:tc>
          <w:tcPr>
            <w:tcW w:w="2268" w:type="dxa"/>
            <w:vAlign w:val="center"/>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b/>
                <w:sz w:val="24"/>
                <w:szCs w:val="24"/>
                <w:lang w:val="en-US" w:eastAsia="ru-RU"/>
              </w:rPr>
            </w:pPr>
            <w:r w:rsidRPr="00CC3507">
              <w:rPr>
                <w:rFonts w:ascii="Times New Roman" w:eastAsia="Times New Roman" w:hAnsi="Times New Roman" w:cs="Times New Roman"/>
                <w:b/>
                <w:sz w:val="24"/>
                <w:szCs w:val="24"/>
                <w:lang w:val="en-US" w:eastAsia="ru-RU"/>
              </w:rPr>
              <w:t>Time of execution</w:t>
            </w:r>
          </w:p>
        </w:tc>
      </w:tr>
      <w:tr w:rsidR="00371CC9" w:rsidRPr="009F55B7" w:rsidTr="00371CC9">
        <w:trPr>
          <w:cantSplit/>
        </w:trPr>
        <w:tc>
          <w:tcPr>
            <w:tcW w:w="851" w:type="dxa"/>
          </w:tcPr>
          <w:p w:rsidR="00371CC9" w:rsidRPr="00CC3507" w:rsidRDefault="00371CC9" w:rsidP="00371CC9">
            <w:pPr>
              <w:keepNext/>
              <w:widowControl w:val="0"/>
              <w:numPr>
                <w:ilvl w:val="0"/>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
                <w:sz w:val="24"/>
                <w:szCs w:val="24"/>
                <w:lang w:val="en-US" w:eastAsia="ru-RU"/>
              </w:rPr>
            </w:pPr>
          </w:p>
        </w:tc>
        <w:tc>
          <w:tcPr>
            <w:tcW w:w="6521" w:type="dxa"/>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b/>
                <w:sz w:val="24"/>
                <w:szCs w:val="24"/>
                <w:lang w:val="en-US" w:eastAsia="ru-RU"/>
              </w:rPr>
            </w:pPr>
            <w:r w:rsidRPr="00CC3507">
              <w:rPr>
                <w:rFonts w:ascii="Times New Roman" w:eastAsia="Times New Roman" w:hAnsi="Times New Roman" w:cs="Times New Roman"/>
                <w:b/>
                <w:sz w:val="24"/>
                <w:szCs w:val="24"/>
                <w:lang w:val="en-US" w:eastAsia="ru-RU"/>
              </w:rPr>
              <w:t xml:space="preserve">US dollars for Russian </w:t>
            </w:r>
            <w:proofErr w:type="spellStart"/>
            <w:r w:rsidRPr="00CC3507">
              <w:rPr>
                <w:rFonts w:ascii="Times New Roman" w:eastAsia="Times New Roman" w:hAnsi="Times New Roman" w:cs="Times New Roman"/>
                <w:b/>
                <w:sz w:val="24"/>
                <w:szCs w:val="24"/>
                <w:lang w:val="en-US" w:eastAsia="ru-RU"/>
              </w:rPr>
              <w:t>roubles</w:t>
            </w:r>
            <w:proofErr w:type="spellEnd"/>
            <w:r w:rsidRPr="00CC3507">
              <w:rPr>
                <w:rFonts w:ascii="Times New Roman" w:eastAsia="Times New Roman" w:hAnsi="Times New Roman" w:cs="Times New Roman"/>
                <w:b/>
                <w:sz w:val="24"/>
                <w:szCs w:val="24"/>
                <w:lang w:val="en-US" w:eastAsia="ru-RU"/>
              </w:rPr>
              <w:t>:</w:t>
            </w:r>
          </w:p>
        </w:tc>
        <w:tc>
          <w:tcPr>
            <w:tcW w:w="2268" w:type="dxa"/>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b/>
                <w:sz w:val="24"/>
                <w:szCs w:val="24"/>
                <w:lang w:val="en-US" w:eastAsia="ru-RU"/>
              </w:rPr>
            </w:pPr>
          </w:p>
        </w:tc>
      </w:tr>
      <w:tr w:rsidR="00371CC9" w:rsidRPr="00CC3507" w:rsidTr="00371CC9">
        <w:trPr>
          <w:cantSplit/>
        </w:trPr>
        <w:tc>
          <w:tcPr>
            <w:tcW w:w="851" w:type="dxa"/>
          </w:tcPr>
          <w:p w:rsidR="00371CC9" w:rsidRPr="00CC3507" w:rsidRDefault="00371CC9" w:rsidP="00371CC9">
            <w:pPr>
              <w:keepNext/>
              <w:widowControl w:val="0"/>
              <w:numPr>
                <w:ilvl w:val="1"/>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eastAsia="ru-RU"/>
              </w:rPr>
            </w:pPr>
          </w:p>
        </w:tc>
        <w:tc>
          <w:tcPr>
            <w:tcW w:w="6521" w:type="dxa"/>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Buy-sell trades USDRUB_TOD</w:t>
            </w:r>
          </w:p>
        </w:tc>
        <w:tc>
          <w:tcPr>
            <w:tcW w:w="2268" w:type="dxa"/>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w:t>
            </w:r>
            <w:r w:rsidRPr="00CC3507">
              <w:rPr>
                <w:rFonts w:ascii="Times New Roman" w:eastAsia="Times New Roman" w:hAnsi="Times New Roman" w:cs="Times New Roman"/>
                <w:sz w:val="24"/>
                <w:szCs w:val="24"/>
                <w:vertAlign w:val="superscript"/>
                <w:lang w:val="en-US" w:eastAsia="ru-RU"/>
              </w:rPr>
              <w:footnoteReference w:id="1"/>
            </w:r>
          </w:p>
        </w:tc>
      </w:tr>
      <w:tr w:rsidR="00371CC9" w:rsidRPr="00CC3507" w:rsidTr="00371CC9">
        <w:trPr>
          <w:cantSplit/>
        </w:trPr>
        <w:tc>
          <w:tcPr>
            <w:tcW w:w="851" w:type="dxa"/>
          </w:tcPr>
          <w:p w:rsidR="00371CC9" w:rsidRPr="00CC3507" w:rsidRDefault="00371CC9" w:rsidP="00371CC9">
            <w:pPr>
              <w:keepNext/>
              <w:widowControl w:val="0"/>
              <w:numPr>
                <w:ilvl w:val="1"/>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eastAsia="ru-RU"/>
              </w:rPr>
            </w:pPr>
          </w:p>
        </w:tc>
        <w:tc>
          <w:tcPr>
            <w:tcW w:w="6521" w:type="dxa"/>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Buy-sell trades USDRUB_TOM</w:t>
            </w:r>
          </w:p>
        </w:tc>
        <w:tc>
          <w:tcPr>
            <w:tcW w:w="2268" w:type="dxa"/>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 + 1</w:t>
            </w:r>
          </w:p>
        </w:tc>
      </w:tr>
      <w:tr w:rsidR="00371CC9" w:rsidRPr="00CC3507" w:rsidTr="00371CC9">
        <w:trPr>
          <w:cantSplit/>
        </w:trPr>
        <w:tc>
          <w:tcPr>
            <w:tcW w:w="851" w:type="dxa"/>
          </w:tcPr>
          <w:p w:rsidR="00371CC9" w:rsidRPr="00CC3507" w:rsidRDefault="00371CC9" w:rsidP="00371CC9">
            <w:pPr>
              <w:keepNext/>
              <w:widowControl w:val="0"/>
              <w:numPr>
                <w:ilvl w:val="1"/>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eastAsia="ru-RU"/>
              </w:rPr>
            </w:pPr>
          </w:p>
        </w:tc>
        <w:tc>
          <w:tcPr>
            <w:tcW w:w="6521" w:type="dxa"/>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Buy-sell trades (non-systemic only) USDRUB_ LTV</w:t>
            </w:r>
          </w:p>
        </w:tc>
        <w:tc>
          <w:tcPr>
            <w:tcW w:w="2268" w:type="dxa"/>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from T+2 to T+366</w:t>
            </w:r>
          </w:p>
        </w:tc>
      </w:tr>
      <w:tr w:rsidR="00371CC9" w:rsidRPr="00CC3507" w:rsidTr="00371CC9">
        <w:trPr>
          <w:cantSplit/>
        </w:trPr>
        <w:tc>
          <w:tcPr>
            <w:tcW w:w="851" w:type="dxa"/>
          </w:tcPr>
          <w:p w:rsidR="00371CC9" w:rsidRPr="00CC3507" w:rsidRDefault="00371CC9" w:rsidP="00371CC9">
            <w:pPr>
              <w:keepNext/>
              <w:widowControl w:val="0"/>
              <w:numPr>
                <w:ilvl w:val="1"/>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eastAsia="ru-RU"/>
              </w:rPr>
            </w:pPr>
          </w:p>
        </w:tc>
        <w:tc>
          <w:tcPr>
            <w:tcW w:w="6521" w:type="dxa"/>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Swap trades USD_TODTOM</w:t>
            </w:r>
          </w:p>
        </w:tc>
        <w:tc>
          <w:tcPr>
            <w:tcW w:w="2268" w:type="dxa"/>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 / T+1</w:t>
            </w:r>
          </w:p>
        </w:tc>
      </w:tr>
      <w:tr w:rsidR="00371CC9" w:rsidRPr="00CC3507" w:rsidTr="00371CC9">
        <w:trPr>
          <w:cantSplit/>
        </w:trPr>
        <w:tc>
          <w:tcPr>
            <w:tcW w:w="85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widowControl w:val="0"/>
              <w:numPr>
                <w:ilvl w:val="1"/>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eastAsia="ru-RU"/>
              </w:rPr>
            </w:pPr>
          </w:p>
        </w:tc>
        <w:tc>
          <w:tcPr>
            <w:tcW w:w="652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Swap trades USD_TOMSPT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T+1 / T+2</w:t>
            </w:r>
          </w:p>
        </w:tc>
      </w:tr>
      <w:tr w:rsidR="00371CC9" w:rsidRPr="00CC3507" w:rsidTr="00371CC9">
        <w:trPr>
          <w:cantSplit/>
        </w:trPr>
        <w:tc>
          <w:tcPr>
            <w:tcW w:w="851" w:type="dxa"/>
          </w:tcPr>
          <w:p w:rsidR="00371CC9" w:rsidRPr="00CC3507" w:rsidRDefault="00371CC9" w:rsidP="00371CC9">
            <w:pPr>
              <w:keepNext/>
              <w:widowControl w:val="0"/>
              <w:numPr>
                <w:ilvl w:val="1"/>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eastAsia="ru-RU"/>
              </w:rPr>
            </w:pPr>
          </w:p>
        </w:tc>
        <w:tc>
          <w:tcPr>
            <w:tcW w:w="6521" w:type="dxa"/>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Swap trades USD_TOM1W</w:t>
            </w:r>
          </w:p>
        </w:tc>
        <w:tc>
          <w:tcPr>
            <w:tcW w:w="2268" w:type="dxa"/>
            <w:shd w:val="clear" w:color="auto" w:fill="auto"/>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T+1 / T+8</w:t>
            </w:r>
          </w:p>
        </w:tc>
      </w:tr>
      <w:tr w:rsidR="00371CC9" w:rsidRPr="00CC3507" w:rsidTr="00371CC9">
        <w:trPr>
          <w:cantSplit/>
        </w:trPr>
        <w:tc>
          <w:tcPr>
            <w:tcW w:w="851" w:type="dxa"/>
          </w:tcPr>
          <w:p w:rsidR="00371CC9" w:rsidRPr="00CC3507" w:rsidRDefault="00371CC9" w:rsidP="00371CC9">
            <w:pPr>
              <w:keepNext/>
              <w:widowControl w:val="0"/>
              <w:numPr>
                <w:ilvl w:val="1"/>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eastAsia="ru-RU"/>
              </w:rPr>
            </w:pPr>
          </w:p>
        </w:tc>
        <w:tc>
          <w:tcPr>
            <w:tcW w:w="6521" w:type="dxa"/>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Swap trades USD_TOM2W</w:t>
            </w:r>
          </w:p>
        </w:tc>
        <w:tc>
          <w:tcPr>
            <w:tcW w:w="2268" w:type="dxa"/>
            <w:shd w:val="clear" w:color="auto" w:fill="auto"/>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T+1 / T+15</w:t>
            </w:r>
          </w:p>
        </w:tc>
      </w:tr>
      <w:tr w:rsidR="00371CC9" w:rsidRPr="00CC3507" w:rsidTr="00371CC9">
        <w:trPr>
          <w:cantSplit/>
        </w:trPr>
        <w:tc>
          <w:tcPr>
            <w:tcW w:w="851" w:type="dxa"/>
          </w:tcPr>
          <w:p w:rsidR="00371CC9" w:rsidRPr="00CC3507" w:rsidRDefault="00371CC9" w:rsidP="00371CC9">
            <w:pPr>
              <w:keepNext/>
              <w:widowControl w:val="0"/>
              <w:numPr>
                <w:ilvl w:val="1"/>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eastAsia="ru-RU"/>
              </w:rPr>
            </w:pPr>
          </w:p>
        </w:tc>
        <w:tc>
          <w:tcPr>
            <w:tcW w:w="6521" w:type="dxa"/>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Swap trades USD_TOM1M</w:t>
            </w:r>
          </w:p>
        </w:tc>
        <w:tc>
          <w:tcPr>
            <w:tcW w:w="2268" w:type="dxa"/>
            <w:shd w:val="clear" w:color="auto" w:fill="auto"/>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T+1 / T+1 month</w:t>
            </w:r>
          </w:p>
        </w:tc>
      </w:tr>
      <w:tr w:rsidR="00371CC9" w:rsidRPr="00CC3507" w:rsidTr="00371CC9">
        <w:trPr>
          <w:cantSplit/>
        </w:trPr>
        <w:tc>
          <w:tcPr>
            <w:tcW w:w="851" w:type="dxa"/>
          </w:tcPr>
          <w:p w:rsidR="00371CC9" w:rsidRPr="00CC3507" w:rsidRDefault="00371CC9" w:rsidP="00371CC9">
            <w:pPr>
              <w:keepNext/>
              <w:widowControl w:val="0"/>
              <w:numPr>
                <w:ilvl w:val="1"/>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eastAsia="ru-RU"/>
              </w:rPr>
            </w:pPr>
          </w:p>
        </w:tc>
        <w:tc>
          <w:tcPr>
            <w:tcW w:w="6521" w:type="dxa"/>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Swap trades USD_TOM2M</w:t>
            </w:r>
          </w:p>
        </w:tc>
        <w:tc>
          <w:tcPr>
            <w:tcW w:w="2268" w:type="dxa"/>
            <w:shd w:val="clear" w:color="auto" w:fill="auto"/>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T+1 / T+2 months</w:t>
            </w:r>
          </w:p>
        </w:tc>
      </w:tr>
      <w:tr w:rsidR="00371CC9" w:rsidRPr="00CC3507" w:rsidTr="00371CC9">
        <w:trPr>
          <w:cantSplit/>
        </w:trPr>
        <w:tc>
          <w:tcPr>
            <w:tcW w:w="851" w:type="dxa"/>
          </w:tcPr>
          <w:p w:rsidR="00371CC9" w:rsidRPr="00CC3507" w:rsidRDefault="00371CC9" w:rsidP="00371CC9">
            <w:pPr>
              <w:keepNext/>
              <w:widowControl w:val="0"/>
              <w:numPr>
                <w:ilvl w:val="1"/>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eastAsia="ru-RU"/>
              </w:rPr>
            </w:pPr>
          </w:p>
        </w:tc>
        <w:tc>
          <w:tcPr>
            <w:tcW w:w="6521" w:type="dxa"/>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Swap trades USD_TOM3M</w:t>
            </w:r>
          </w:p>
        </w:tc>
        <w:tc>
          <w:tcPr>
            <w:tcW w:w="2268" w:type="dxa"/>
            <w:shd w:val="clear" w:color="auto" w:fill="auto"/>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T+1 / T+3 months</w:t>
            </w:r>
          </w:p>
        </w:tc>
      </w:tr>
      <w:tr w:rsidR="00371CC9" w:rsidRPr="00CC3507" w:rsidTr="00371CC9">
        <w:trPr>
          <w:cantSplit/>
        </w:trPr>
        <w:tc>
          <w:tcPr>
            <w:tcW w:w="851" w:type="dxa"/>
          </w:tcPr>
          <w:p w:rsidR="00371CC9" w:rsidRPr="00CC3507" w:rsidRDefault="00371CC9" w:rsidP="00371CC9">
            <w:pPr>
              <w:keepNext/>
              <w:widowControl w:val="0"/>
              <w:numPr>
                <w:ilvl w:val="1"/>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eastAsia="ru-RU"/>
              </w:rPr>
            </w:pPr>
          </w:p>
        </w:tc>
        <w:tc>
          <w:tcPr>
            <w:tcW w:w="6521" w:type="dxa"/>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Swap trades USD_TOM6M</w:t>
            </w:r>
          </w:p>
        </w:tc>
        <w:tc>
          <w:tcPr>
            <w:tcW w:w="2268" w:type="dxa"/>
            <w:shd w:val="clear" w:color="auto" w:fill="auto"/>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T+1 / T+6 months</w:t>
            </w:r>
          </w:p>
        </w:tc>
      </w:tr>
      <w:tr w:rsidR="00371CC9" w:rsidRPr="00CC3507" w:rsidTr="00371CC9">
        <w:trPr>
          <w:cantSplit/>
        </w:trPr>
        <w:tc>
          <w:tcPr>
            <w:tcW w:w="851" w:type="dxa"/>
          </w:tcPr>
          <w:p w:rsidR="00371CC9" w:rsidRPr="00CC3507" w:rsidRDefault="00371CC9" w:rsidP="00371CC9">
            <w:pPr>
              <w:keepNext/>
              <w:widowControl w:val="0"/>
              <w:numPr>
                <w:ilvl w:val="1"/>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eastAsia="ru-RU"/>
              </w:rPr>
            </w:pPr>
          </w:p>
        </w:tc>
        <w:tc>
          <w:tcPr>
            <w:tcW w:w="6521" w:type="dxa"/>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Swap trades USD_TOM9M</w:t>
            </w:r>
          </w:p>
        </w:tc>
        <w:tc>
          <w:tcPr>
            <w:tcW w:w="2268" w:type="dxa"/>
            <w:shd w:val="clear" w:color="auto" w:fill="auto"/>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T+1 / T+9 months</w:t>
            </w:r>
          </w:p>
        </w:tc>
      </w:tr>
      <w:tr w:rsidR="00371CC9" w:rsidRPr="00CC3507" w:rsidTr="00371CC9">
        <w:trPr>
          <w:cantSplit/>
        </w:trPr>
        <w:tc>
          <w:tcPr>
            <w:tcW w:w="851" w:type="dxa"/>
          </w:tcPr>
          <w:p w:rsidR="00371CC9" w:rsidRPr="00CC3507" w:rsidRDefault="00371CC9" w:rsidP="00371CC9">
            <w:pPr>
              <w:keepNext/>
              <w:widowControl w:val="0"/>
              <w:numPr>
                <w:ilvl w:val="1"/>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eastAsia="ru-RU"/>
              </w:rPr>
            </w:pPr>
          </w:p>
        </w:tc>
        <w:tc>
          <w:tcPr>
            <w:tcW w:w="6521" w:type="dxa"/>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Swap trades USD_TOM1Y</w:t>
            </w:r>
          </w:p>
        </w:tc>
        <w:tc>
          <w:tcPr>
            <w:tcW w:w="2268" w:type="dxa"/>
            <w:shd w:val="clear" w:color="auto" w:fill="auto"/>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T+1 / T+12 months</w:t>
            </w:r>
          </w:p>
        </w:tc>
      </w:tr>
      <w:tr w:rsidR="00371CC9" w:rsidRPr="00CC3507" w:rsidTr="00371CC9">
        <w:trPr>
          <w:cantSplit/>
        </w:trPr>
        <w:tc>
          <w:tcPr>
            <w:tcW w:w="851" w:type="dxa"/>
          </w:tcPr>
          <w:p w:rsidR="00371CC9" w:rsidRPr="00CC3507" w:rsidRDefault="00371CC9" w:rsidP="00371CC9">
            <w:pPr>
              <w:keepNext/>
              <w:widowControl w:val="0"/>
              <w:numPr>
                <w:ilvl w:val="0"/>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
                <w:sz w:val="24"/>
                <w:szCs w:val="24"/>
                <w:lang w:val="en-US" w:eastAsia="ru-RU"/>
              </w:rPr>
            </w:pPr>
          </w:p>
        </w:tc>
        <w:tc>
          <w:tcPr>
            <w:tcW w:w="6521" w:type="dxa"/>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b/>
                <w:sz w:val="24"/>
                <w:szCs w:val="24"/>
                <w:lang w:val="en-US" w:eastAsia="ru-RU"/>
              </w:rPr>
            </w:pPr>
            <w:r w:rsidRPr="00CC3507">
              <w:rPr>
                <w:rFonts w:ascii="Times New Roman" w:eastAsia="Times New Roman" w:hAnsi="Times New Roman" w:cs="Times New Roman"/>
                <w:b/>
                <w:sz w:val="24"/>
                <w:szCs w:val="24"/>
                <w:lang w:val="en-US" w:eastAsia="ru-RU"/>
              </w:rPr>
              <w:t xml:space="preserve">Euro for Russian </w:t>
            </w:r>
            <w:proofErr w:type="spellStart"/>
            <w:r w:rsidRPr="00CC3507">
              <w:rPr>
                <w:rFonts w:ascii="Times New Roman" w:eastAsia="Times New Roman" w:hAnsi="Times New Roman" w:cs="Times New Roman"/>
                <w:b/>
                <w:sz w:val="24"/>
                <w:szCs w:val="24"/>
                <w:lang w:val="en-US" w:eastAsia="ru-RU"/>
              </w:rPr>
              <w:t>roubles</w:t>
            </w:r>
            <w:proofErr w:type="spellEnd"/>
            <w:r w:rsidRPr="00CC3507">
              <w:rPr>
                <w:rFonts w:ascii="Times New Roman" w:eastAsia="Times New Roman" w:hAnsi="Times New Roman" w:cs="Times New Roman"/>
                <w:b/>
                <w:sz w:val="24"/>
                <w:szCs w:val="24"/>
                <w:lang w:val="en-US" w:eastAsia="ru-RU"/>
              </w:rPr>
              <w:t>:</w:t>
            </w:r>
          </w:p>
        </w:tc>
        <w:tc>
          <w:tcPr>
            <w:tcW w:w="2268" w:type="dxa"/>
            <w:shd w:val="clear" w:color="auto" w:fill="auto"/>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b/>
                <w:sz w:val="24"/>
                <w:szCs w:val="24"/>
                <w:lang w:val="en-US" w:eastAsia="ru-RU"/>
              </w:rPr>
            </w:pPr>
          </w:p>
        </w:tc>
      </w:tr>
      <w:tr w:rsidR="00371CC9" w:rsidRPr="00CC3507" w:rsidTr="00371CC9">
        <w:trPr>
          <w:cantSplit/>
        </w:trPr>
        <w:tc>
          <w:tcPr>
            <w:tcW w:w="85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widowControl w:val="0"/>
              <w:numPr>
                <w:ilvl w:val="1"/>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eastAsia="ru-RU"/>
              </w:rPr>
            </w:pPr>
          </w:p>
        </w:tc>
        <w:tc>
          <w:tcPr>
            <w:tcW w:w="652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Buy-sell trades EURRUB_TOD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w:t>
            </w:r>
          </w:p>
        </w:tc>
      </w:tr>
      <w:tr w:rsidR="00371CC9" w:rsidRPr="00CC3507" w:rsidTr="00371CC9">
        <w:trPr>
          <w:cantSplit/>
        </w:trPr>
        <w:tc>
          <w:tcPr>
            <w:tcW w:w="85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widowControl w:val="0"/>
              <w:numPr>
                <w:ilvl w:val="1"/>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eastAsia="ru-RU"/>
              </w:rPr>
            </w:pPr>
          </w:p>
        </w:tc>
        <w:tc>
          <w:tcPr>
            <w:tcW w:w="652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Buy-sell trades EURRUB_TOM</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 + 1</w:t>
            </w:r>
          </w:p>
        </w:tc>
      </w:tr>
      <w:tr w:rsidR="00371CC9" w:rsidRPr="00CC3507" w:rsidTr="00371CC9">
        <w:trPr>
          <w:cantSplit/>
        </w:trPr>
        <w:tc>
          <w:tcPr>
            <w:tcW w:w="85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widowControl w:val="0"/>
              <w:numPr>
                <w:ilvl w:val="1"/>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eastAsia="ru-RU"/>
              </w:rPr>
            </w:pPr>
          </w:p>
        </w:tc>
        <w:tc>
          <w:tcPr>
            <w:tcW w:w="652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Buy-sell trades (non-systemic only) EURRUB_ LTV</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from T+2 to T+366</w:t>
            </w:r>
          </w:p>
        </w:tc>
      </w:tr>
      <w:tr w:rsidR="00371CC9" w:rsidRPr="00CC3507" w:rsidTr="00371CC9">
        <w:trPr>
          <w:cantSplit/>
        </w:trPr>
        <w:tc>
          <w:tcPr>
            <w:tcW w:w="85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widowControl w:val="0"/>
              <w:numPr>
                <w:ilvl w:val="1"/>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eastAsia="ru-RU"/>
              </w:rPr>
            </w:pPr>
          </w:p>
        </w:tc>
        <w:tc>
          <w:tcPr>
            <w:tcW w:w="652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Swap trades EUR_TODTOM</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 / T+1</w:t>
            </w:r>
          </w:p>
        </w:tc>
      </w:tr>
      <w:tr w:rsidR="00371CC9" w:rsidRPr="00CC3507" w:rsidTr="00371CC9">
        <w:trPr>
          <w:cantSplit/>
        </w:trPr>
        <w:tc>
          <w:tcPr>
            <w:tcW w:w="85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widowControl w:val="0"/>
              <w:numPr>
                <w:ilvl w:val="1"/>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eastAsia="ru-RU"/>
              </w:rPr>
            </w:pPr>
          </w:p>
        </w:tc>
        <w:tc>
          <w:tcPr>
            <w:tcW w:w="652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Swap trades EUR_TOMSPT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T+1 / T+2</w:t>
            </w:r>
          </w:p>
        </w:tc>
      </w:tr>
      <w:tr w:rsidR="00371CC9" w:rsidRPr="00CC3507" w:rsidTr="00371CC9">
        <w:trPr>
          <w:cantSplit/>
        </w:trPr>
        <w:tc>
          <w:tcPr>
            <w:tcW w:w="85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widowControl w:val="0"/>
              <w:numPr>
                <w:ilvl w:val="1"/>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eastAsia="ru-RU"/>
              </w:rPr>
            </w:pPr>
          </w:p>
        </w:tc>
        <w:tc>
          <w:tcPr>
            <w:tcW w:w="652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Swap trades EUR_TOM1W</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T+1 / T+8</w:t>
            </w:r>
          </w:p>
        </w:tc>
      </w:tr>
      <w:tr w:rsidR="00371CC9" w:rsidRPr="00CC3507" w:rsidTr="00371CC9">
        <w:trPr>
          <w:cantSplit/>
        </w:trPr>
        <w:tc>
          <w:tcPr>
            <w:tcW w:w="85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widowControl w:val="0"/>
              <w:numPr>
                <w:ilvl w:val="1"/>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eastAsia="ru-RU"/>
              </w:rPr>
            </w:pPr>
          </w:p>
        </w:tc>
        <w:tc>
          <w:tcPr>
            <w:tcW w:w="652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Swap trades EUR_TOM2W</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T+1 / T+15</w:t>
            </w:r>
          </w:p>
        </w:tc>
      </w:tr>
      <w:tr w:rsidR="00371CC9" w:rsidRPr="00CC3507" w:rsidTr="00371CC9">
        <w:trPr>
          <w:cantSplit/>
        </w:trPr>
        <w:tc>
          <w:tcPr>
            <w:tcW w:w="85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widowControl w:val="0"/>
              <w:numPr>
                <w:ilvl w:val="1"/>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eastAsia="ru-RU"/>
              </w:rPr>
            </w:pPr>
          </w:p>
        </w:tc>
        <w:tc>
          <w:tcPr>
            <w:tcW w:w="652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Swap trades EUR_TOM1M</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T+1 / T+1 month</w:t>
            </w:r>
          </w:p>
        </w:tc>
      </w:tr>
      <w:tr w:rsidR="00371CC9" w:rsidRPr="00CC3507" w:rsidTr="00371CC9">
        <w:trPr>
          <w:cantSplit/>
        </w:trPr>
        <w:tc>
          <w:tcPr>
            <w:tcW w:w="85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widowControl w:val="0"/>
              <w:numPr>
                <w:ilvl w:val="1"/>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eastAsia="ru-RU"/>
              </w:rPr>
            </w:pPr>
          </w:p>
        </w:tc>
        <w:tc>
          <w:tcPr>
            <w:tcW w:w="652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Swap trades EUR_TOM2M</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T+1 / T+2 months</w:t>
            </w:r>
          </w:p>
        </w:tc>
      </w:tr>
      <w:tr w:rsidR="00371CC9" w:rsidRPr="00CC3507" w:rsidTr="00371CC9">
        <w:trPr>
          <w:cantSplit/>
        </w:trPr>
        <w:tc>
          <w:tcPr>
            <w:tcW w:w="85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widowControl w:val="0"/>
              <w:numPr>
                <w:ilvl w:val="1"/>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eastAsia="ru-RU"/>
              </w:rPr>
            </w:pPr>
          </w:p>
        </w:tc>
        <w:tc>
          <w:tcPr>
            <w:tcW w:w="652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Swap trades EUR_TOM3M</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T+1 / T+3 months</w:t>
            </w:r>
          </w:p>
        </w:tc>
      </w:tr>
      <w:tr w:rsidR="00371CC9" w:rsidRPr="00CC3507" w:rsidTr="00371CC9">
        <w:trPr>
          <w:cantSplit/>
        </w:trPr>
        <w:tc>
          <w:tcPr>
            <w:tcW w:w="85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widowControl w:val="0"/>
              <w:numPr>
                <w:ilvl w:val="1"/>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eastAsia="ru-RU"/>
              </w:rPr>
            </w:pPr>
          </w:p>
        </w:tc>
        <w:tc>
          <w:tcPr>
            <w:tcW w:w="652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Swap trades EUR_TOM6M</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T+1 / T+6 months</w:t>
            </w:r>
          </w:p>
        </w:tc>
      </w:tr>
      <w:tr w:rsidR="00371CC9" w:rsidRPr="00CC3507" w:rsidTr="00371CC9">
        <w:trPr>
          <w:cantSplit/>
        </w:trPr>
        <w:tc>
          <w:tcPr>
            <w:tcW w:w="85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widowControl w:val="0"/>
              <w:numPr>
                <w:ilvl w:val="1"/>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eastAsia="ru-RU"/>
              </w:rPr>
            </w:pPr>
          </w:p>
        </w:tc>
        <w:tc>
          <w:tcPr>
            <w:tcW w:w="652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Swap trades EUR_TOM9M</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T+1 / T+9 months</w:t>
            </w:r>
          </w:p>
        </w:tc>
      </w:tr>
      <w:tr w:rsidR="00371CC9" w:rsidRPr="00CC3507" w:rsidTr="00371CC9">
        <w:trPr>
          <w:cantSplit/>
        </w:trPr>
        <w:tc>
          <w:tcPr>
            <w:tcW w:w="85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widowControl w:val="0"/>
              <w:numPr>
                <w:ilvl w:val="1"/>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eastAsia="ru-RU"/>
              </w:rPr>
            </w:pPr>
          </w:p>
        </w:tc>
        <w:tc>
          <w:tcPr>
            <w:tcW w:w="652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Swap trades EUR_TOM1Y</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T+1 / T+12 months</w:t>
            </w:r>
          </w:p>
        </w:tc>
      </w:tr>
      <w:tr w:rsidR="00371CC9" w:rsidRPr="009F55B7" w:rsidTr="00371CC9">
        <w:trPr>
          <w:cantSplit/>
        </w:trPr>
        <w:tc>
          <w:tcPr>
            <w:tcW w:w="85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widowControl w:val="0"/>
              <w:numPr>
                <w:ilvl w:val="0"/>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
                <w:sz w:val="24"/>
                <w:szCs w:val="24"/>
                <w:lang w:val="en-US" w:eastAsia="ru-RU"/>
              </w:rPr>
            </w:pPr>
          </w:p>
        </w:tc>
        <w:tc>
          <w:tcPr>
            <w:tcW w:w="652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b/>
                <w:sz w:val="24"/>
                <w:szCs w:val="24"/>
                <w:lang w:val="en-US" w:eastAsia="ru-RU"/>
              </w:rPr>
            </w:pPr>
            <w:r w:rsidRPr="00CC3507">
              <w:rPr>
                <w:rFonts w:ascii="Times New Roman" w:eastAsia="Times New Roman" w:hAnsi="Times New Roman" w:cs="Times New Roman"/>
                <w:b/>
                <w:sz w:val="24"/>
                <w:szCs w:val="24"/>
                <w:lang w:val="en-US" w:eastAsia="ru-RU"/>
              </w:rPr>
              <w:t xml:space="preserve">Chinese </w:t>
            </w:r>
            <w:proofErr w:type="spellStart"/>
            <w:r w:rsidRPr="00CC3507">
              <w:rPr>
                <w:rFonts w:ascii="Times New Roman" w:eastAsia="Times New Roman" w:hAnsi="Times New Roman" w:cs="Times New Roman"/>
                <w:b/>
                <w:sz w:val="24"/>
                <w:szCs w:val="24"/>
                <w:lang w:val="en-US" w:eastAsia="ru-RU"/>
              </w:rPr>
              <w:t>yuans</w:t>
            </w:r>
            <w:proofErr w:type="spellEnd"/>
            <w:r w:rsidRPr="00CC3507">
              <w:rPr>
                <w:rFonts w:ascii="Times New Roman" w:eastAsia="Times New Roman" w:hAnsi="Times New Roman" w:cs="Times New Roman"/>
                <w:b/>
                <w:sz w:val="24"/>
                <w:szCs w:val="24"/>
                <w:lang w:val="en-US" w:eastAsia="ru-RU"/>
              </w:rPr>
              <w:t xml:space="preserve"> for Russian </w:t>
            </w:r>
            <w:proofErr w:type="spellStart"/>
            <w:r w:rsidRPr="00CC3507">
              <w:rPr>
                <w:rFonts w:ascii="Times New Roman" w:eastAsia="Times New Roman" w:hAnsi="Times New Roman" w:cs="Times New Roman"/>
                <w:b/>
                <w:sz w:val="24"/>
                <w:szCs w:val="24"/>
                <w:lang w:val="en-US" w:eastAsia="ru-RU"/>
              </w:rPr>
              <w:t>roubles</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b/>
                <w:sz w:val="24"/>
                <w:szCs w:val="24"/>
                <w:lang w:val="en-US" w:eastAsia="ru-RU"/>
              </w:rPr>
            </w:pPr>
          </w:p>
        </w:tc>
      </w:tr>
      <w:tr w:rsidR="00371CC9" w:rsidRPr="00CC3507" w:rsidTr="00371CC9">
        <w:trPr>
          <w:cantSplit/>
        </w:trPr>
        <w:tc>
          <w:tcPr>
            <w:tcW w:w="85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widowControl w:val="0"/>
              <w:numPr>
                <w:ilvl w:val="1"/>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eastAsia="ru-RU"/>
              </w:rPr>
            </w:pPr>
          </w:p>
        </w:tc>
        <w:tc>
          <w:tcPr>
            <w:tcW w:w="652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Buy-sell trades CNYRUB_TOD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w:t>
            </w:r>
          </w:p>
        </w:tc>
      </w:tr>
      <w:tr w:rsidR="00371CC9" w:rsidRPr="00CC3507" w:rsidTr="00371CC9">
        <w:trPr>
          <w:cantSplit/>
        </w:trPr>
        <w:tc>
          <w:tcPr>
            <w:tcW w:w="85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widowControl w:val="0"/>
              <w:numPr>
                <w:ilvl w:val="1"/>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eastAsia="ru-RU"/>
              </w:rPr>
            </w:pPr>
          </w:p>
        </w:tc>
        <w:tc>
          <w:tcPr>
            <w:tcW w:w="652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 xml:space="preserve">Buy-sell trades </w:t>
            </w:r>
            <w:r w:rsidRPr="00CC3507">
              <w:rPr>
                <w:rFonts w:ascii="Times New Roman" w:hAnsi="Times New Roman" w:cs="Times New Roman"/>
                <w:sz w:val="24"/>
                <w:szCs w:val="24"/>
                <w:lang w:val="en-US"/>
              </w:rPr>
              <w:t>CNY</w:t>
            </w:r>
            <w:r w:rsidRPr="00CC3507">
              <w:rPr>
                <w:rFonts w:ascii="Times New Roman" w:eastAsia="Times New Roman" w:hAnsi="Times New Roman" w:cs="Times New Roman"/>
                <w:sz w:val="24"/>
                <w:szCs w:val="24"/>
                <w:lang w:val="en-US" w:eastAsia="ru-RU"/>
              </w:rPr>
              <w:t>RUB_TOM</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 + 1</w:t>
            </w:r>
          </w:p>
        </w:tc>
      </w:tr>
      <w:tr w:rsidR="00371CC9" w:rsidRPr="00CC3507" w:rsidTr="00371CC9">
        <w:trPr>
          <w:cantSplit/>
        </w:trPr>
        <w:tc>
          <w:tcPr>
            <w:tcW w:w="85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widowControl w:val="0"/>
              <w:numPr>
                <w:ilvl w:val="1"/>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eastAsia="ru-RU"/>
              </w:rPr>
            </w:pPr>
          </w:p>
        </w:tc>
        <w:tc>
          <w:tcPr>
            <w:tcW w:w="652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 xml:space="preserve">Buy-sell trades (non-systemic only) </w:t>
            </w:r>
            <w:r w:rsidRPr="00CC3507">
              <w:rPr>
                <w:rFonts w:ascii="Times New Roman" w:hAnsi="Times New Roman" w:cs="Times New Roman"/>
                <w:sz w:val="24"/>
                <w:szCs w:val="24"/>
                <w:lang w:val="en-US"/>
              </w:rPr>
              <w:t>CNY</w:t>
            </w:r>
            <w:r w:rsidRPr="00CC3507">
              <w:rPr>
                <w:rFonts w:ascii="Times New Roman" w:eastAsia="Times New Roman" w:hAnsi="Times New Roman" w:cs="Times New Roman"/>
                <w:sz w:val="24"/>
                <w:szCs w:val="24"/>
                <w:lang w:val="en-US" w:eastAsia="ru-RU"/>
              </w:rPr>
              <w:t>RUB_ LTV</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from T+2 to T+184</w:t>
            </w:r>
          </w:p>
        </w:tc>
      </w:tr>
      <w:tr w:rsidR="00371CC9" w:rsidRPr="00CC3507" w:rsidTr="00371CC9">
        <w:trPr>
          <w:cantSplit/>
        </w:trPr>
        <w:tc>
          <w:tcPr>
            <w:tcW w:w="85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widowControl w:val="0"/>
              <w:numPr>
                <w:ilvl w:val="1"/>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eastAsia="ru-RU"/>
              </w:rPr>
            </w:pPr>
          </w:p>
        </w:tc>
        <w:tc>
          <w:tcPr>
            <w:tcW w:w="652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 xml:space="preserve">Swap trades </w:t>
            </w:r>
            <w:r w:rsidRPr="00CC3507">
              <w:rPr>
                <w:rFonts w:ascii="Times New Roman" w:hAnsi="Times New Roman" w:cs="Times New Roman"/>
                <w:sz w:val="24"/>
                <w:szCs w:val="24"/>
                <w:lang w:val="en-US"/>
              </w:rPr>
              <w:t>CNY</w:t>
            </w:r>
            <w:r w:rsidRPr="00CC3507">
              <w:rPr>
                <w:rFonts w:ascii="Times New Roman" w:eastAsia="Times New Roman" w:hAnsi="Times New Roman" w:cs="Times New Roman"/>
                <w:sz w:val="24"/>
                <w:szCs w:val="24"/>
                <w:lang w:val="en-US" w:eastAsia="ru-RU"/>
              </w:rPr>
              <w:t>_TODTOM</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 / T+1</w:t>
            </w:r>
          </w:p>
        </w:tc>
      </w:tr>
      <w:tr w:rsidR="00371CC9" w:rsidRPr="00CC3507" w:rsidTr="00371CC9">
        <w:trPr>
          <w:cantSplit/>
        </w:trPr>
        <w:tc>
          <w:tcPr>
            <w:tcW w:w="85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widowControl w:val="0"/>
              <w:numPr>
                <w:ilvl w:val="1"/>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eastAsia="ru-RU"/>
              </w:rPr>
            </w:pPr>
          </w:p>
        </w:tc>
        <w:tc>
          <w:tcPr>
            <w:tcW w:w="652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 xml:space="preserve">Swap trades </w:t>
            </w:r>
            <w:r w:rsidRPr="00CC3507">
              <w:rPr>
                <w:rFonts w:ascii="Times New Roman" w:hAnsi="Times New Roman" w:cs="Times New Roman"/>
                <w:sz w:val="24"/>
                <w:szCs w:val="24"/>
                <w:lang w:val="en-US"/>
              </w:rPr>
              <w:t>CNY</w:t>
            </w:r>
            <w:r w:rsidRPr="00CC3507">
              <w:rPr>
                <w:rFonts w:ascii="Times New Roman" w:eastAsia="Times New Roman" w:hAnsi="Times New Roman" w:cs="Times New Roman"/>
                <w:sz w:val="24"/>
                <w:szCs w:val="24"/>
                <w:lang w:val="en-US" w:eastAsia="ru-RU"/>
              </w:rPr>
              <w:t>_TOMSPT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T+1 / T+2</w:t>
            </w:r>
          </w:p>
        </w:tc>
      </w:tr>
      <w:tr w:rsidR="00371CC9" w:rsidRPr="00CC3507" w:rsidTr="00371CC9">
        <w:trPr>
          <w:cantSplit/>
        </w:trPr>
        <w:tc>
          <w:tcPr>
            <w:tcW w:w="85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widowControl w:val="0"/>
              <w:numPr>
                <w:ilvl w:val="1"/>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eastAsia="ru-RU"/>
              </w:rPr>
            </w:pPr>
          </w:p>
        </w:tc>
        <w:tc>
          <w:tcPr>
            <w:tcW w:w="652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 xml:space="preserve">Swap trades </w:t>
            </w:r>
            <w:r w:rsidRPr="00CC3507">
              <w:rPr>
                <w:rFonts w:ascii="Times New Roman" w:hAnsi="Times New Roman" w:cs="Times New Roman"/>
                <w:sz w:val="24"/>
                <w:szCs w:val="24"/>
                <w:lang w:val="en-US"/>
              </w:rPr>
              <w:t>CNY</w:t>
            </w:r>
            <w:r w:rsidRPr="00CC3507">
              <w:rPr>
                <w:rFonts w:ascii="Times New Roman" w:eastAsia="Times New Roman" w:hAnsi="Times New Roman" w:cs="Times New Roman"/>
                <w:sz w:val="24"/>
                <w:szCs w:val="24"/>
                <w:lang w:val="en-US" w:eastAsia="ru-RU"/>
              </w:rPr>
              <w:t>_TOM1W</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T+1 / T+8</w:t>
            </w:r>
          </w:p>
        </w:tc>
      </w:tr>
      <w:tr w:rsidR="00371CC9" w:rsidRPr="00CC3507" w:rsidTr="00371CC9">
        <w:trPr>
          <w:cantSplit/>
        </w:trPr>
        <w:tc>
          <w:tcPr>
            <w:tcW w:w="85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widowControl w:val="0"/>
              <w:numPr>
                <w:ilvl w:val="1"/>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eastAsia="ru-RU"/>
              </w:rPr>
            </w:pPr>
          </w:p>
        </w:tc>
        <w:tc>
          <w:tcPr>
            <w:tcW w:w="652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 xml:space="preserve">Swap trades </w:t>
            </w:r>
            <w:r w:rsidRPr="00CC3507">
              <w:rPr>
                <w:rFonts w:ascii="Times New Roman" w:hAnsi="Times New Roman" w:cs="Times New Roman"/>
                <w:sz w:val="24"/>
                <w:szCs w:val="24"/>
                <w:lang w:val="en-US"/>
              </w:rPr>
              <w:t>CNY</w:t>
            </w:r>
            <w:r w:rsidRPr="00CC3507">
              <w:rPr>
                <w:rFonts w:ascii="Times New Roman" w:eastAsia="Times New Roman" w:hAnsi="Times New Roman" w:cs="Times New Roman"/>
                <w:sz w:val="24"/>
                <w:szCs w:val="24"/>
                <w:lang w:val="en-US" w:eastAsia="ru-RU"/>
              </w:rPr>
              <w:t>_TOM2W</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T+1 / T+15</w:t>
            </w:r>
          </w:p>
        </w:tc>
      </w:tr>
      <w:tr w:rsidR="00371CC9" w:rsidRPr="00CC3507" w:rsidTr="00371CC9">
        <w:trPr>
          <w:cantSplit/>
        </w:trPr>
        <w:tc>
          <w:tcPr>
            <w:tcW w:w="85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widowControl w:val="0"/>
              <w:numPr>
                <w:ilvl w:val="1"/>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eastAsia="ru-RU"/>
              </w:rPr>
            </w:pPr>
          </w:p>
        </w:tc>
        <w:tc>
          <w:tcPr>
            <w:tcW w:w="652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 xml:space="preserve">Swap trades </w:t>
            </w:r>
            <w:r w:rsidRPr="00CC3507">
              <w:rPr>
                <w:rFonts w:ascii="Times New Roman" w:hAnsi="Times New Roman" w:cs="Times New Roman"/>
                <w:sz w:val="24"/>
                <w:szCs w:val="24"/>
                <w:lang w:val="en-US"/>
              </w:rPr>
              <w:t>CNY</w:t>
            </w:r>
            <w:r w:rsidRPr="00CC3507">
              <w:rPr>
                <w:rFonts w:ascii="Times New Roman" w:eastAsia="Times New Roman" w:hAnsi="Times New Roman" w:cs="Times New Roman"/>
                <w:sz w:val="24"/>
                <w:szCs w:val="24"/>
                <w:lang w:val="en-US" w:eastAsia="ru-RU"/>
              </w:rPr>
              <w:t>_TOM1M</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T+1 / T+1 month</w:t>
            </w:r>
          </w:p>
        </w:tc>
      </w:tr>
      <w:tr w:rsidR="00371CC9" w:rsidRPr="00CC3507" w:rsidTr="00371CC9">
        <w:trPr>
          <w:cantSplit/>
        </w:trPr>
        <w:tc>
          <w:tcPr>
            <w:tcW w:w="85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widowControl w:val="0"/>
              <w:numPr>
                <w:ilvl w:val="1"/>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eastAsia="ru-RU"/>
              </w:rPr>
            </w:pPr>
          </w:p>
        </w:tc>
        <w:tc>
          <w:tcPr>
            <w:tcW w:w="652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 xml:space="preserve">Swap trades </w:t>
            </w:r>
            <w:r w:rsidRPr="00CC3507">
              <w:rPr>
                <w:rFonts w:ascii="Times New Roman" w:hAnsi="Times New Roman" w:cs="Times New Roman"/>
                <w:sz w:val="24"/>
                <w:szCs w:val="24"/>
                <w:lang w:val="en-US"/>
              </w:rPr>
              <w:t>CNY</w:t>
            </w:r>
            <w:r w:rsidRPr="00CC3507">
              <w:rPr>
                <w:rFonts w:ascii="Times New Roman" w:eastAsia="Times New Roman" w:hAnsi="Times New Roman" w:cs="Times New Roman"/>
                <w:sz w:val="24"/>
                <w:szCs w:val="24"/>
                <w:lang w:val="en-US" w:eastAsia="ru-RU"/>
              </w:rPr>
              <w:t>_TOM2M</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T+1 / T+2 months</w:t>
            </w:r>
          </w:p>
        </w:tc>
      </w:tr>
      <w:tr w:rsidR="00371CC9" w:rsidRPr="00CC3507" w:rsidTr="00371CC9">
        <w:trPr>
          <w:cantSplit/>
        </w:trPr>
        <w:tc>
          <w:tcPr>
            <w:tcW w:w="85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widowControl w:val="0"/>
              <w:numPr>
                <w:ilvl w:val="1"/>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eastAsia="ru-RU"/>
              </w:rPr>
            </w:pPr>
          </w:p>
        </w:tc>
        <w:tc>
          <w:tcPr>
            <w:tcW w:w="652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 xml:space="preserve">Swap trades </w:t>
            </w:r>
            <w:r w:rsidRPr="00CC3507">
              <w:rPr>
                <w:rFonts w:ascii="Times New Roman" w:hAnsi="Times New Roman" w:cs="Times New Roman"/>
                <w:sz w:val="24"/>
                <w:szCs w:val="24"/>
                <w:lang w:val="en-US"/>
              </w:rPr>
              <w:t>CNY</w:t>
            </w:r>
            <w:r w:rsidRPr="00CC3507">
              <w:rPr>
                <w:rFonts w:ascii="Times New Roman" w:eastAsia="Times New Roman" w:hAnsi="Times New Roman" w:cs="Times New Roman"/>
                <w:sz w:val="24"/>
                <w:szCs w:val="24"/>
                <w:lang w:val="en-US" w:eastAsia="ru-RU"/>
              </w:rPr>
              <w:t>_TOM3M</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T+1 / T+3 months</w:t>
            </w:r>
          </w:p>
        </w:tc>
      </w:tr>
      <w:tr w:rsidR="00371CC9" w:rsidRPr="00CC3507" w:rsidTr="00371CC9">
        <w:trPr>
          <w:cantSplit/>
        </w:trPr>
        <w:tc>
          <w:tcPr>
            <w:tcW w:w="85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widowControl w:val="0"/>
              <w:numPr>
                <w:ilvl w:val="1"/>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eastAsia="ru-RU"/>
              </w:rPr>
            </w:pPr>
          </w:p>
        </w:tc>
        <w:tc>
          <w:tcPr>
            <w:tcW w:w="652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 xml:space="preserve">Swap trades </w:t>
            </w:r>
            <w:r w:rsidRPr="00CC3507">
              <w:rPr>
                <w:rFonts w:ascii="Times New Roman" w:hAnsi="Times New Roman" w:cs="Times New Roman"/>
                <w:sz w:val="24"/>
                <w:szCs w:val="24"/>
                <w:lang w:val="en-US"/>
              </w:rPr>
              <w:t>CNY</w:t>
            </w:r>
            <w:r w:rsidRPr="00CC3507">
              <w:rPr>
                <w:rFonts w:ascii="Times New Roman" w:eastAsia="Times New Roman" w:hAnsi="Times New Roman" w:cs="Times New Roman"/>
                <w:sz w:val="24"/>
                <w:szCs w:val="24"/>
                <w:lang w:val="en-US" w:eastAsia="ru-RU"/>
              </w:rPr>
              <w:t>_TOM6M</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T+1 / T+6 months</w:t>
            </w:r>
          </w:p>
        </w:tc>
      </w:tr>
      <w:tr w:rsidR="00371CC9" w:rsidRPr="00CC3507" w:rsidTr="00371CC9">
        <w:trPr>
          <w:cantSplit/>
        </w:trPr>
        <w:tc>
          <w:tcPr>
            <w:tcW w:w="85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widowControl w:val="0"/>
              <w:numPr>
                <w:ilvl w:val="0"/>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
                <w:sz w:val="24"/>
                <w:szCs w:val="24"/>
                <w:lang w:val="en-US" w:eastAsia="ru-RU"/>
              </w:rPr>
            </w:pPr>
          </w:p>
        </w:tc>
        <w:tc>
          <w:tcPr>
            <w:tcW w:w="652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b/>
                <w:sz w:val="24"/>
                <w:szCs w:val="24"/>
                <w:lang w:val="en-US" w:eastAsia="ru-RU"/>
              </w:rPr>
            </w:pPr>
            <w:r w:rsidRPr="00CC3507">
              <w:rPr>
                <w:rFonts w:ascii="Times New Roman" w:eastAsia="Times New Roman" w:hAnsi="Times New Roman" w:cs="Times New Roman"/>
                <w:b/>
                <w:sz w:val="24"/>
                <w:szCs w:val="24"/>
                <w:lang w:val="en-US" w:eastAsia="ru-RU"/>
              </w:rPr>
              <w:t>Euro for US dollars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b/>
                <w:sz w:val="24"/>
                <w:szCs w:val="24"/>
                <w:lang w:val="en-US" w:eastAsia="ru-RU"/>
              </w:rPr>
            </w:pPr>
          </w:p>
        </w:tc>
      </w:tr>
      <w:tr w:rsidR="00371CC9" w:rsidRPr="00CC3507" w:rsidTr="00371CC9">
        <w:trPr>
          <w:cantSplit/>
        </w:trPr>
        <w:tc>
          <w:tcPr>
            <w:tcW w:w="85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widowControl w:val="0"/>
              <w:numPr>
                <w:ilvl w:val="1"/>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eastAsia="ru-RU"/>
              </w:rPr>
            </w:pPr>
          </w:p>
        </w:tc>
        <w:tc>
          <w:tcPr>
            <w:tcW w:w="652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Buy-sell trades EURUSD_TOD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w:t>
            </w:r>
          </w:p>
        </w:tc>
      </w:tr>
      <w:tr w:rsidR="00371CC9" w:rsidRPr="00CC3507" w:rsidTr="00371CC9">
        <w:trPr>
          <w:cantSplit/>
        </w:trPr>
        <w:tc>
          <w:tcPr>
            <w:tcW w:w="85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widowControl w:val="0"/>
              <w:numPr>
                <w:ilvl w:val="1"/>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eastAsia="ru-RU"/>
              </w:rPr>
            </w:pPr>
          </w:p>
        </w:tc>
        <w:tc>
          <w:tcPr>
            <w:tcW w:w="652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Buy-sell trades EURUSD_TOM</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T+1</w:t>
            </w:r>
          </w:p>
        </w:tc>
      </w:tr>
      <w:tr w:rsidR="00371CC9" w:rsidRPr="00CC3507" w:rsidTr="00371CC9">
        <w:trPr>
          <w:cantSplit/>
        </w:trPr>
        <w:tc>
          <w:tcPr>
            <w:tcW w:w="85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widowControl w:val="0"/>
              <w:numPr>
                <w:ilvl w:val="1"/>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eastAsia="ru-RU"/>
              </w:rPr>
            </w:pPr>
          </w:p>
        </w:tc>
        <w:tc>
          <w:tcPr>
            <w:tcW w:w="652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Swap trades EURUSD_TODTOM</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 / T+1</w:t>
            </w:r>
          </w:p>
        </w:tc>
      </w:tr>
      <w:tr w:rsidR="00371CC9" w:rsidRPr="00CC3507" w:rsidTr="00371CC9">
        <w:trPr>
          <w:cantSplit/>
        </w:trPr>
        <w:tc>
          <w:tcPr>
            <w:tcW w:w="85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widowControl w:val="0"/>
              <w:numPr>
                <w:ilvl w:val="0"/>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en-US" w:eastAsia="ru-RU"/>
              </w:rPr>
            </w:pPr>
          </w:p>
        </w:tc>
        <w:tc>
          <w:tcPr>
            <w:tcW w:w="6521" w:type="dxa"/>
            <w:tcBorders>
              <w:top w:val="single" w:sz="4" w:space="0" w:color="auto"/>
              <w:left w:val="single" w:sz="4" w:space="0" w:color="auto"/>
              <w:bottom w:val="single" w:sz="4" w:space="0" w:color="auto"/>
              <w:right w:val="single" w:sz="4" w:space="0" w:color="auto"/>
            </w:tcBorders>
          </w:tcPr>
          <w:p w:rsidR="00371CC9" w:rsidRPr="00CC3507" w:rsidRDefault="00371CC9" w:rsidP="00371CC9">
            <w:pPr>
              <w:keepNext/>
              <w:autoSpaceDE w:val="0"/>
              <w:autoSpaceDN w:val="0"/>
              <w:spacing w:after="0" w:line="240" w:lineRule="auto"/>
              <w:ind w:firstLine="34"/>
              <w:jc w:val="both"/>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 xml:space="preserve">Bi-currency basket (this is an instrument, when two trades are concluded to </w:t>
            </w:r>
            <w:r>
              <w:rPr>
                <w:rFonts w:ascii="Times New Roman" w:eastAsia="Times New Roman" w:hAnsi="Times New Roman" w:cs="Times New Roman"/>
                <w:sz w:val="24"/>
                <w:szCs w:val="24"/>
                <w:lang w:val="en-US" w:eastAsia="ru-RU"/>
              </w:rPr>
              <w:t>buy</w:t>
            </w:r>
            <w:r w:rsidRPr="00CC3507">
              <w:rPr>
                <w:rFonts w:ascii="Times New Roman" w:eastAsia="Times New Roman" w:hAnsi="Times New Roman" w:cs="Times New Roman"/>
                <w:sz w:val="24"/>
                <w:szCs w:val="24"/>
                <w:lang w:val="en-US" w:eastAsia="ru-RU"/>
              </w:rPr>
              <w:t xml:space="preserve"> or sell funds, in US dollars for Russian </w:t>
            </w:r>
            <w:proofErr w:type="spellStart"/>
            <w:r w:rsidRPr="00CC3507">
              <w:rPr>
                <w:rFonts w:ascii="Times New Roman" w:eastAsia="Times New Roman" w:hAnsi="Times New Roman" w:cs="Times New Roman"/>
                <w:sz w:val="24"/>
                <w:szCs w:val="24"/>
                <w:lang w:val="en-US" w:eastAsia="ru-RU"/>
              </w:rPr>
              <w:t>roubles</w:t>
            </w:r>
            <w:proofErr w:type="spellEnd"/>
            <w:r w:rsidRPr="00CC3507">
              <w:rPr>
                <w:rFonts w:ascii="Times New Roman" w:eastAsia="Times New Roman" w:hAnsi="Times New Roman" w:cs="Times New Roman"/>
                <w:sz w:val="24"/>
                <w:szCs w:val="24"/>
                <w:lang w:val="en-US" w:eastAsia="ru-RU"/>
              </w:rPr>
              <w:t xml:space="preserve">, and euros for Russian </w:t>
            </w:r>
            <w:proofErr w:type="spellStart"/>
            <w:r w:rsidRPr="00CC3507">
              <w:rPr>
                <w:rFonts w:ascii="Times New Roman" w:eastAsia="Times New Roman" w:hAnsi="Times New Roman" w:cs="Times New Roman"/>
                <w:sz w:val="24"/>
                <w:szCs w:val="24"/>
                <w:lang w:val="en-US" w:eastAsia="ru-RU"/>
              </w:rPr>
              <w:t>roubles</w:t>
            </w:r>
            <w:proofErr w:type="spellEnd"/>
            <w:r w:rsidRPr="00CC3507">
              <w:rPr>
                <w:rFonts w:ascii="Times New Roman" w:eastAsia="Times New Roman" w:hAnsi="Times New Roman" w:cs="Times New Roman"/>
                <w:sz w:val="24"/>
                <w:szCs w:val="24"/>
                <w:lang w:val="en-US" w:eastAsia="ru-RU"/>
              </w:rPr>
              <w:t xml:space="preserve"> in the shares of 0.55 and 0.45 respectively, for Russian </w:t>
            </w:r>
            <w:proofErr w:type="spellStart"/>
            <w:r w:rsidRPr="00CC3507">
              <w:rPr>
                <w:rFonts w:ascii="Times New Roman" w:eastAsia="Times New Roman" w:hAnsi="Times New Roman" w:cs="Times New Roman"/>
                <w:sz w:val="24"/>
                <w:szCs w:val="24"/>
                <w:lang w:val="en-US" w:eastAsia="ru-RU"/>
              </w:rPr>
              <w:t>roubles</w:t>
            </w:r>
            <w:proofErr w:type="spellEnd"/>
            <w:r w:rsidRPr="00CC3507">
              <w:rPr>
                <w:rFonts w:ascii="Times New Roman" w:eastAsia="Times New Roman" w:hAnsi="Times New Roman" w:cs="Times New Roman"/>
                <w:sz w:val="24"/>
                <w:szCs w:val="24"/>
                <w:lang w:val="en-US" w:eastAsia="ru-RU"/>
              </w:rPr>
              <w:t>) BKTRUB_TOM</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T+1</w:t>
            </w:r>
          </w:p>
        </w:tc>
      </w:tr>
    </w:tbl>
    <w:p w:rsidR="00371CC9" w:rsidRPr="00CC3507" w:rsidRDefault="00371CC9" w:rsidP="00371CC9">
      <w:pPr>
        <w:spacing w:after="120" w:line="240" w:lineRule="auto"/>
        <w:ind w:left="708" w:firstLine="567"/>
        <w:jc w:val="both"/>
        <w:rPr>
          <w:rFonts w:ascii="Times New Roman" w:hAnsi="Times New Roman" w:cs="Times New Roman"/>
          <w:sz w:val="24"/>
          <w:szCs w:val="24"/>
          <w:lang w:val="en-US"/>
        </w:rPr>
      </w:pPr>
      <w:r w:rsidRPr="00CC3507">
        <w:rPr>
          <w:rFonts w:ascii="Times New Roman" w:hAnsi="Times New Roman" w:cs="Times New Roman"/>
          <w:sz w:val="24"/>
          <w:szCs w:val="24"/>
          <w:lang w:val="en-US"/>
        </w:rPr>
        <w:t xml:space="preserve"> </w:t>
      </w:r>
    </w:p>
    <w:p w:rsidR="00371CC9" w:rsidRPr="00CC3507" w:rsidRDefault="00371CC9" w:rsidP="00371CC9">
      <w:pPr>
        <w:spacing w:after="120" w:line="240" w:lineRule="auto"/>
        <w:ind w:firstLine="567"/>
        <w:jc w:val="both"/>
        <w:rPr>
          <w:rFonts w:ascii="Times New Roman" w:hAnsi="Times New Roman" w:cs="Times New Roman"/>
          <w:sz w:val="24"/>
          <w:szCs w:val="24"/>
          <w:lang w:val="en-US"/>
        </w:rPr>
      </w:pPr>
      <w:r w:rsidRPr="00CC3507">
        <w:rPr>
          <w:rFonts w:ascii="Times New Roman" w:hAnsi="Times New Roman" w:cs="Times New Roman"/>
          <w:sz w:val="24"/>
          <w:szCs w:val="24"/>
          <w:lang w:val="en-US"/>
        </w:rPr>
        <w:t xml:space="preserve">During the reporting period, National Clearing Centre carried out the clearing </w:t>
      </w:r>
      <w:r w:rsidR="001267AF">
        <w:rPr>
          <w:rFonts w:ascii="Times New Roman" w:hAnsi="Times New Roman" w:cs="Times New Roman"/>
          <w:sz w:val="24"/>
          <w:szCs w:val="24"/>
          <w:lang w:val="en-US"/>
        </w:rPr>
        <w:t xml:space="preserve">in the </w:t>
      </w:r>
      <w:r w:rsidRPr="00CC3507">
        <w:rPr>
          <w:rFonts w:ascii="Times New Roman" w:hAnsi="Times New Roman" w:cs="Times New Roman"/>
          <w:sz w:val="24"/>
          <w:szCs w:val="24"/>
          <w:lang w:val="en-US"/>
        </w:rPr>
        <w:t xml:space="preserve">FX market with </w:t>
      </w:r>
      <w:r w:rsidR="001267AF">
        <w:rPr>
          <w:rFonts w:ascii="Times New Roman" w:hAnsi="Times New Roman" w:cs="Times New Roman"/>
          <w:sz w:val="24"/>
          <w:szCs w:val="24"/>
          <w:lang w:val="en-US"/>
        </w:rPr>
        <w:t xml:space="preserve">the </w:t>
      </w:r>
      <w:r w:rsidRPr="00CC3507">
        <w:rPr>
          <w:rFonts w:ascii="Times New Roman" w:hAnsi="Times New Roman" w:cs="Times New Roman"/>
          <w:sz w:val="24"/>
          <w:szCs w:val="24"/>
          <w:lang w:val="en-US"/>
        </w:rPr>
        <w:t>full collateral for the following instruments:</w:t>
      </w:r>
    </w:p>
    <w:p w:rsidR="00371CC9" w:rsidRPr="00CC3507" w:rsidRDefault="00371CC9" w:rsidP="00371CC9">
      <w:pPr>
        <w:spacing w:after="120" w:line="240" w:lineRule="auto"/>
        <w:ind w:firstLine="567"/>
        <w:jc w:val="both"/>
        <w:rPr>
          <w:rFonts w:ascii="Times New Roman" w:hAnsi="Times New Roman" w:cs="Times New Roman"/>
          <w:sz w:val="24"/>
          <w:szCs w:val="24"/>
          <w:lang w:val="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521"/>
        <w:gridCol w:w="2268"/>
      </w:tblGrid>
      <w:tr w:rsidR="00371CC9" w:rsidRPr="00CC3507" w:rsidTr="00371CC9">
        <w:trPr>
          <w:cantSplit/>
          <w:tblHeader/>
        </w:trPr>
        <w:tc>
          <w:tcPr>
            <w:tcW w:w="851" w:type="dxa"/>
            <w:vAlign w:val="center"/>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b/>
                <w:sz w:val="24"/>
                <w:szCs w:val="24"/>
                <w:lang w:val="en-US" w:eastAsia="ru-RU"/>
              </w:rPr>
            </w:pPr>
            <w:r w:rsidRPr="00CC3507">
              <w:rPr>
                <w:rFonts w:ascii="Times New Roman" w:eastAsia="Times New Roman" w:hAnsi="Times New Roman" w:cs="Times New Roman"/>
                <w:b/>
                <w:sz w:val="24"/>
                <w:szCs w:val="24"/>
                <w:lang w:val="en-US" w:eastAsia="ru-RU"/>
              </w:rPr>
              <w:t>No.</w:t>
            </w:r>
          </w:p>
        </w:tc>
        <w:tc>
          <w:tcPr>
            <w:tcW w:w="6521" w:type="dxa"/>
            <w:vAlign w:val="center"/>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b/>
                <w:sz w:val="24"/>
                <w:szCs w:val="24"/>
                <w:lang w:val="en-US" w:eastAsia="ru-RU"/>
              </w:rPr>
            </w:pPr>
            <w:r w:rsidRPr="00CC3507">
              <w:rPr>
                <w:rFonts w:ascii="Times New Roman" w:eastAsia="Times New Roman" w:hAnsi="Times New Roman" w:cs="Times New Roman"/>
                <w:b/>
                <w:sz w:val="24"/>
                <w:szCs w:val="24"/>
                <w:lang w:val="en-US" w:eastAsia="ru-RU"/>
              </w:rPr>
              <w:t>Instrument description</w:t>
            </w:r>
          </w:p>
        </w:tc>
        <w:tc>
          <w:tcPr>
            <w:tcW w:w="2268" w:type="dxa"/>
            <w:vAlign w:val="center"/>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b/>
                <w:sz w:val="24"/>
                <w:szCs w:val="24"/>
                <w:lang w:val="en-US" w:eastAsia="ru-RU"/>
              </w:rPr>
            </w:pPr>
            <w:r w:rsidRPr="00CC3507">
              <w:rPr>
                <w:rFonts w:ascii="Times New Roman" w:eastAsia="Times New Roman" w:hAnsi="Times New Roman" w:cs="Times New Roman"/>
                <w:b/>
                <w:sz w:val="24"/>
                <w:szCs w:val="24"/>
                <w:lang w:val="en-US" w:eastAsia="ru-RU"/>
              </w:rPr>
              <w:t>Time of execution</w:t>
            </w:r>
          </w:p>
        </w:tc>
      </w:tr>
      <w:tr w:rsidR="00371CC9" w:rsidRPr="00CC3507" w:rsidTr="00371CC9">
        <w:trPr>
          <w:cantSplit/>
          <w:trHeight w:val="112"/>
        </w:trPr>
        <w:tc>
          <w:tcPr>
            <w:tcW w:w="851" w:type="dxa"/>
          </w:tcPr>
          <w:p w:rsidR="00371CC9" w:rsidRPr="00CC3507" w:rsidRDefault="00371CC9" w:rsidP="00371CC9">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1.</w:t>
            </w:r>
          </w:p>
        </w:tc>
        <w:tc>
          <w:tcPr>
            <w:tcW w:w="6521" w:type="dxa"/>
          </w:tcPr>
          <w:p w:rsidR="00371CC9" w:rsidRPr="00CC3507" w:rsidRDefault="00371CC9" w:rsidP="00371CC9">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 xml:space="preserve">Buy-sell trades of Ukrainian </w:t>
            </w:r>
            <w:proofErr w:type="spellStart"/>
            <w:r w:rsidRPr="00CC3507">
              <w:rPr>
                <w:rFonts w:ascii="Times New Roman" w:eastAsia="Times New Roman" w:hAnsi="Times New Roman" w:cs="Times New Roman"/>
                <w:sz w:val="24"/>
                <w:szCs w:val="24"/>
                <w:lang w:val="en-US" w:eastAsia="ru-RU"/>
              </w:rPr>
              <w:t>hryvnas</w:t>
            </w:r>
            <w:proofErr w:type="spellEnd"/>
            <w:r w:rsidRPr="00CC3507">
              <w:rPr>
                <w:rFonts w:ascii="Times New Roman" w:eastAsia="Times New Roman" w:hAnsi="Times New Roman" w:cs="Times New Roman"/>
                <w:sz w:val="24"/>
                <w:szCs w:val="24"/>
                <w:lang w:val="en-US" w:eastAsia="ru-RU"/>
              </w:rPr>
              <w:t xml:space="preserve"> for Russian </w:t>
            </w:r>
            <w:proofErr w:type="spellStart"/>
            <w:r w:rsidRPr="00CC3507">
              <w:rPr>
                <w:rFonts w:ascii="Times New Roman" w:eastAsia="Times New Roman" w:hAnsi="Times New Roman" w:cs="Times New Roman"/>
                <w:sz w:val="24"/>
                <w:szCs w:val="24"/>
                <w:lang w:val="en-US" w:eastAsia="ru-RU"/>
              </w:rPr>
              <w:t>roubles</w:t>
            </w:r>
            <w:proofErr w:type="spellEnd"/>
            <w:r w:rsidRPr="00CC3507">
              <w:rPr>
                <w:rFonts w:ascii="Times New Roman" w:eastAsia="Times New Roman" w:hAnsi="Times New Roman" w:cs="Times New Roman"/>
                <w:sz w:val="24"/>
                <w:szCs w:val="24"/>
                <w:lang w:val="en-US" w:eastAsia="ru-RU"/>
              </w:rPr>
              <w:t xml:space="preserve"> UAHRUB_TOD</w:t>
            </w:r>
          </w:p>
        </w:tc>
        <w:tc>
          <w:tcPr>
            <w:tcW w:w="2268" w:type="dxa"/>
          </w:tcPr>
          <w:p w:rsidR="00371CC9" w:rsidRPr="00CC3507" w:rsidRDefault="00371CC9" w:rsidP="00371CC9">
            <w:pPr>
              <w:widowControl w:val="0"/>
              <w:overflowPunct w:val="0"/>
              <w:autoSpaceDE w:val="0"/>
              <w:autoSpaceDN w:val="0"/>
              <w:adjustRightInd w:val="0"/>
              <w:spacing w:before="100" w:after="120" w:line="240" w:lineRule="auto"/>
              <w:jc w:val="center"/>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w:t>
            </w:r>
          </w:p>
        </w:tc>
      </w:tr>
      <w:tr w:rsidR="00371CC9" w:rsidRPr="00CC3507" w:rsidTr="00371CC9">
        <w:trPr>
          <w:cantSplit/>
        </w:trPr>
        <w:tc>
          <w:tcPr>
            <w:tcW w:w="851" w:type="dxa"/>
          </w:tcPr>
          <w:p w:rsidR="00371CC9" w:rsidRPr="00CC3507" w:rsidRDefault="00371CC9" w:rsidP="00371CC9">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2.</w:t>
            </w:r>
          </w:p>
        </w:tc>
        <w:tc>
          <w:tcPr>
            <w:tcW w:w="6521" w:type="dxa"/>
          </w:tcPr>
          <w:p w:rsidR="00371CC9" w:rsidRPr="00CC3507" w:rsidRDefault="00371CC9" w:rsidP="00371CC9">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 xml:space="preserve">Buy-sell trades of Belarusian </w:t>
            </w:r>
            <w:proofErr w:type="spellStart"/>
            <w:r w:rsidRPr="00CC3507">
              <w:rPr>
                <w:rFonts w:ascii="Times New Roman" w:eastAsia="Times New Roman" w:hAnsi="Times New Roman" w:cs="Times New Roman"/>
                <w:sz w:val="24"/>
                <w:szCs w:val="24"/>
                <w:lang w:val="en-US" w:eastAsia="ru-RU"/>
              </w:rPr>
              <w:t>roubles</w:t>
            </w:r>
            <w:proofErr w:type="spellEnd"/>
            <w:r w:rsidRPr="00CC3507">
              <w:rPr>
                <w:rFonts w:ascii="Times New Roman" w:eastAsia="Times New Roman" w:hAnsi="Times New Roman" w:cs="Times New Roman"/>
                <w:sz w:val="24"/>
                <w:szCs w:val="24"/>
                <w:lang w:val="en-US" w:eastAsia="ru-RU"/>
              </w:rPr>
              <w:t xml:space="preserve"> for Russian </w:t>
            </w:r>
            <w:proofErr w:type="spellStart"/>
            <w:r w:rsidRPr="00CC3507">
              <w:rPr>
                <w:rFonts w:ascii="Times New Roman" w:eastAsia="Times New Roman" w:hAnsi="Times New Roman" w:cs="Times New Roman"/>
                <w:sz w:val="24"/>
                <w:szCs w:val="24"/>
                <w:lang w:val="en-US" w:eastAsia="ru-RU"/>
              </w:rPr>
              <w:t>roubles</w:t>
            </w:r>
            <w:proofErr w:type="spellEnd"/>
            <w:r w:rsidRPr="00CC3507">
              <w:rPr>
                <w:rFonts w:ascii="Times New Roman" w:eastAsia="Times New Roman" w:hAnsi="Times New Roman" w:cs="Times New Roman"/>
                <w:sz w:val="24"/>
                <w:szCs w:val="24"/>
                <w:lang w:val="en-US" w:eastAsia="ru-RU"/>
              </w:rPr>
              <w:t xml:space="preserve"> BYRRUB_TOD</w:t>
            </w:r>
          </w:p>
        </w:tc>
        <w:tc>
          <w:tcPr>
            <w:tcW w:w="2268" w:type="dxa"/>
          </w:tcPr>
          <w:p w:rsidR="00371CC9" w:rsidRPr="00CC3507" w:rsidRDefault="00371CC9" w:rsidP="00371CC9">
            <w:pPr>
              <w:widowControl w:val="0"/>
              <w:overflowPunct w:val="0"/>
              <w:autoSpaceDE w:val="0"/>
              <w:autoSpaceDN w:val="0"/>
              <w:adjustRightInd w:val="0"/>
              <w:spacing w:before="100" w:after="120" w:line="240" w:lineRule="auto"/>
              <w:jc w:val="center"/>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w:t>
            </w:r>
          </w:p>
        </w:tc>
      </w:tr>
      <w:tr w:rsidR="00371CC9" w:rsidRPr="00CC3507" w:rsidTr="00371CC9">
        <w:trPr>
          <w:cantSplit/>
        </w:trPr>
        <w:tc>
          <w:tcPr>
            <w:tcW w:w="851" w:type="dxa"/>
          </w:tcPr>
          <w:p w:rsidR="00371CC9" w:rsidRPr="00CC3507" w:rsidRDefault="00371CC9" w:rsidP="00371CC9">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3.</w:t>
            </w:r>
          </w:p>
        </w:tc>
        <w:tc>
          <w:tcPr>
            <w:tcW w:w="6521" w:type="dxa"/>
          </w:tcPr>
          <w:p w:rsidR="00371CC9" w:rsidRPr="00CC3507" w:rsidRDefault="00371CC9" w:rsidP="00371CC9">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 xml:space="preserve">Buy-sell trades of Kazakhstani </w:t>
            </w:r>
            <w:proofErr w:type="spellStart"/>
            <w:r w:rsidRPr="00CC3507">
              <w:rPr>
                <w:rFonts w:ascii="Times New Roman" w:eastAsia="Times New Roman" w:hAnsi="Times New Roman" w:cs="Times New Roman"/>
                <w:sz w:val="24"/>
                <w:szCs w:val="24"/>
                <w:lang w:val="en-US" w:eastAsia="ru-RU"/>
              </w:rPr>
              <w:t>tenge</w:t>
            </w:r>
            <w:proofErr w:type="spellEnd"/>
            <w:r w:rsidRPr="00CC3507">
              <w:rPr>
                <w:rFonts w:ascii="Times New Roman" w:eastAsia="Times New Roman" w:hAnsi="Times New Roman" w:cs="Times New Roman"/>
                <w:sz w:val="24"/>
                <w:szCs w:val="24"/>
                <w:lang w:val="en-US" w:eastAsia="ru-RU"/>
              </w:rPr>
              <w:t xml:space="preserve"> for Russian </w:t>
            </w:r>
            <w:proofErr w:type="spellStart"/>
            <w:r w:rsidRPr="00CC3507">
              <w:rPr>
                <w:rFonts w:ascii="Times New Roman" w:eastAsia="Times New Roman" w:hAnsi="Times New Roman" w:cs="Times New Roman"/>
                <w:sz w:val="24"/>
                <w:szCs w:val="24"/>
                <w:lang w:val="en-US" w:eastAsia="ru-RU"/>
              </w:rPr>
              <w:t>roubles</w:t>
            </w:r>
            <w:proofErr w:type="spellEnd"/>
            <w:r w:rsidRPr="00CC3507">
              <w:rPr>
                <w:rFonts w:ascii="Times New Roman" w:eastAsia="Times New Roman" w:hAnsi="Times New Roman" w:cs="Times New Roman"/>
                <w:sz w:val="24"/>
                <w:szCs w:val="24"/>
                <w:lang w:val="en-US" w:eastAsia="ru-RU"/>
              </w:rPr>
              <w:t xml:space="preserve"> KZTRUB_TOD</w:t>
            </w:r>
          </w:p>
        </w:tc>
        <w:tc>
          <w:tcPr>
            <w:tcW w:w="2268" w:type="dxa"/>
          </w:tcPr>
          <w:p w:rsidR="00371CC9" w:rsidRPr="00CC3507" w:rsidRDefault="00371CC9" w:rsidP="00371CC9">
            <w:pPr>
              <w:widowControl w:val="0"/>
              <w:overflowPunct w:val="0"/>
              <w:autoSpaceDE w:val="0"/>
              <w:autoSpaceDN w:val="0"/>
              <w:adjustRightInd w:val="0"/>
              <w:spacing w:before="100" w:after="120" w:line="240" w:lineRule="auto"/>
              <w:jc w:val="center"/>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w:t>
            </w:r>
          </w:p>
        </w:tc>
      </w:tr>
    </w:tbl>
    <w:p w:rsidR="00371CC9" w:rsidRPr="00CC3507" w:rsidRDefault="00371CC9" w:rsidP="00371CC9">
      <w:pPr>
        <w:spacing w:after="120" w:line="240" w:lineRule="auto"/>
        <w:ind w:firstLine="567"/>
        <w:jc w:val="both"/>
        <w:rPr>
          <w:rFonts w:ascii="Times New Roman" w:hAnsi="Times New Roman" w:cs="Times New Roman"/>
          <w:sz w:val="24"/>
          <w:szCs w:val="24"/>
          <w:lang w:val="en-US"/>
        </w:rPr>
      </w:pPr>
    </w:p>
    <w:p w:rsidR="00371CC9" w:rsidRPr="00CC3507" w:rsidRDefault="00371CC9" w:rsidP="00371CC9">
      <w:pPr>
        <w:spacing w:after="120" w:line="240" w:lineRule="auto"/>
        <w:ind w:firstLine="567"/>
        <w:jc w:val="both"/>
        <w:rPr>
          <w:rFonts w:ascii="Times New Roman" w:hAnsi="Times New Roman" w:cs="Times New Roman"/>
          <w:sz w:val="24"/>
          <w:szCs w:val="24"/>
          <w:lang w:val="en-US"/>
        </w:rPr>
      </w:pPr>
      <w:r w:rsidRPr="00CC3507">
        <w:rPr>
          <w:rFonts w:ascii="Times New Roman" w:hAnsi="Times New Roman" w:cs="Times New Roman"/>
          <w:sz w:val="24"/>
          <w:szCs w:val="24"/>
          <w:lang w:val="en-US"/>
        </w:rPr>
        <w:t>During the reporting period,</w:t>
      </w:r>
      <w:r w:rsidR="001267AF">
        <w:rPr>
          <w:rFonts w:ascii="Times New Roman" w:hAnsi="Times New Roman" w:cs="Times New Roman"/>
          <w:sz w:val="24"/>
          <w:szCs w:val="24"/>
          <w:lang w:val="en-US"/>
        </w:rPr>
        <w:t xml:space="preserve"> </w:t>
      </w:r>
      <w:r w:rsidRPr="00CC3507">
        <w:rPr>
          <w:rFonts w:ascii="Times New Roman" w:hAnsi="Times New Roman" w:cs="Times New Roman"/>
          <w:sz w:val="24"/>
          <w:szCs w:val="24"/>
          <w:lang w:val="en-US"/>
        </w:rPr>
        <w:t xml:space="preserve">National Clearing Centre carried out the clearing on the precious metals market with </w:t>
      </w:r>
      <w:r w:rsidR="001267AF">
        <w:rPr>
          <w:rFonts w:ascii="Times New Roman" w:hAnsi="Times New Roman" w:cs="Times New Roman"/>
          <w:sz w:val="24"/>
          <w:szCs w:val="24"/>
          <w:lang w:val="en-US"/>
        </w:rPr>
        <w:t xml:space="preserve">the </w:t>
      </w:r>
      <w:r w:rsidRPr="00CC3507">
        <w:rPr>
          <w:rFonts w:ascii="Times New Roman" w:hAnsi="Times New Roman" w:cs="Times New Roman"/>
          <w:sz w:val="24"/>
          <w:szCs w:val="24"/>
          <w:lang w:val="en-US"/>
        </w:rPr>
        <w:t>partial collateral for the following instruments:</w:t>
      </w:r>
    </w:p>
    <w:p w:rsidR="00371CC9" w:rsidRPr="00CC3507" w:rsidRDefault="00371CC9" w:rsidP="00371CC9">
      <w:pPr>
        <w:spacing w:after="120" w:line="240" w:lineRule="auto"/>
        <w:ind w:firstLine="567"/>
        <w:jc w:val="both"/>
        <w:rPr>
          <w:rFonts w:ascii="Times New Roman" w:hAnsi="Times New Roman" w:cs="Times New Roman"/>
          <w:sz w:val="24"/>
          <w:szCs w:val="24"/>
          <w:lang w:val="en-US"/>
        </w:rPr>
      </w:pPr>
      <w:r w:rsidRPr="00CC3507">
        <w:rPr>
          <w:rFonts w:ascii="Times New Roman" w:hAnsi="Times New Roman" w:cs="Times New Roman"/>
          <w:sz w:val="24"/>
          <w:szCs w:val="24"/>
          <w:lang w:val="en-US"/>
        </w:rPr>
        <w:br w:type="page"/>
      </w:r>
    </w:p>
    <w:p w:rsidR="00371CC9" w:rsidRPr="00CC3507" w:rsidRDefault="00371CC9" w:rsidP="00371CC9">
      <w:pPr>
        <w:spacing w:after="120" w:line="240" w:lineRule="auto"/>
        <w:ind w:firstLine="567"/>
        <w:jc w:val="both"/>
        <w:rPr>
          <w:rFonts w:ascii="Times New Roman" w:hAnsi="Times New Roman" w:cs="Times New Roman"/>
          <w:sz w:val="24"/>
          <w:szCs w:val="24"/>
          <w:lang w:val="en-US"/>
        </w:rPr>
      </w:pPr>
    </w:p>
    <w:p w:rsidR="00371CC9" w:rsidRPr="00CC3507" w:rsidRDefault="00371CC9" w:rsidP="00371CC9">
      <w:pPr>
        <w:spacing w:after="0"/>
        <w:jc w:val="both"/>
        <w:rPr>
          <w:rFonts w:ascii="Times New Roman" w:hAnsi="Times New Roman" w:cs="Times New Roman"/>
          <w:sz w:val="24"/>
          <w:szCs w:val="24"/>
          <w:lang w:val="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521"/>
        <w:gridCol w:w="2268"/>
      </w:tblGrid>
      <w:tr w:rsidR="00371CC9" w:rsidRPr="00CC3507" w:rsidTr="00371CC9">
        <w:trPr>
          <w:cantSplit/>
          <w:tblHeader/>
        </w:trPr>
        <w:tc>
          <w:tcPr>
            <w:tcW w:w="851" w:type="dxa"/>
            <w:vAlign w:val="center"/>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b/>
                <w:sz w:val="24"/>
                <w:szCs w:val="24"/>
                <w:lang w:val="en-US" w:eastAsia="ru-RU"/>
              </w:rPr>
            </w:pPr>
            <w:r w:rsidRPr="00CC3507">
              <w:rPr>
                <w:rFonts w:ascii="Times New Roman" w:eastAsia="Times New Roman" w:hAnsi="Times New Roman" w:cs="Times New Roman"/>
                <w:b/>
                <w:sz w:val="24"/>
                <w:szCs w:val="24"/>
                <w:lang w:val="en-US" w:eastAsia="ru-RU"/>
              </w:rPr>
              <w:t>No.</w:t>
            </w:r>
          </w:p>
        </w:tc>
        <w:tc>
          <w:tcPr>
            <w:tcW w:w="6521" w:type="dxa"/>
            <w:vAlign w:val="center"/>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b/>
                <w:sz w:val="24"/>
                <w:szCs w:val="24"/>
                <w:lang w:val="en-US" w:eastAsia="ru-RU"/>
              </w:rPr>
            </w:pPr>
            <w:r w:rsidRPr="00CC3507">
              <w:rPr>
                <w:rFonts w:ascii="Times New Roman" w:eastAsia="Times New Roman" w:hAnsi="Times New Roman" w:cs="Times New Roman"/>
                <w:b/>
                <w:sz w:val="24"/>
                <w:szCs w:val="24"/>
                <w:lang w:val="en-US" w:eastAsia="ru-RU"/>
              </w:rPr>
              <w:t>Instrument description</w:t>
            </w:r>
          </w:p>
        </w:tc>
        <w:tc>
          <w:tcPr>
            <w:tcW w:w="2268" w:type="dxa"/>
            <w:vAlign w:val="center"/>
          </w:tcPr>
          <w:p w:rsidR="00371CC9" w:rsidRPr="00CC3507" w:rsidRDefault="00371CC9" w:rsidP="00371CC9">
            <w:pPr>
              <w:keepNext/>
              <w:autoSpaceDE w:val="0"/>
              <w:autoSpaceDN w:val="0"/>
              <w:spacing w:before="100" w:after="0" w:line="240" w:lineRule="auto"/>
              <w:jc w:val="center"/>
              <w:rPr>
                <w:rFonts w:ascii="Times New Roman" w:eastAsia="Times New Roman" w:hAnsi="Times New Roman" w:cs="Times New Roman"/>
                <w:b/>
                <w:sz w:val="24"/>
                <w:szCs w:val="24"/>
                <w:lang w:val="en-US" w:eastAsia="ru-RU"/>
              </w:rPr>
            </w:pPr>
            <w:r w:rsidRPr="00CC3507">
              <w:rPr>
                <w:rFonts w:ascii="Times New Roman" w:eastAsia="Times New Roman" w:hAnsi="Times New Roman" w:cs="Times New Roman"/>
                <w:b/>
                <w:sz w:val="24"/>
                <w:szCs w:val="24"/>
                <w:lang w:val="en-US" w:eastAsia="ru-RU"/>
              </w:rPr>
              <w:t>Time of execution</w:t>
            </w:r>
          </w:p>
        </w:tc>
      </w:tr>
      <w:tr w:rsidR="00371CC9" w:rsidRPr="00CC3507" w:rsidTr="00371CC9">
        <w:trPr>
          <w:cantSplit/>
        </w:trPr>
        <w:tc>
          <w:tcPr>
            <w:tcW w:w="851" w:type="dxa"/>
          </w:tcPr>
          <w:p w:rsidR="00371CC9" w:rsidRPr="00CC3507" w:rsidRDefault="00371CC9" w:rsidP="00371CC9">
            <w:pPr>
              <w:keepNext/>
              <w:widowControl w:val="0"/>
              <w:numPr>
                <w:ilvl w:val="0"/>
                <w:numId w:val="6"/>
              </w:numPr>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b/>
                <w:sz w:val="24"/>
                <w:szCs w:val="24"/>
                <w:lang w:eastAsia="ru-RU"/>
              </w:rPr>
            </w:pPr>
          </w:p>
        </w:tc>
        <w:tc>
          <w:tcPr>
            <w:tcW w:w="6521" w:type="dxa"/>
          </w:tcPr>
          <w:p w:rsidR="00371CC9" w:rsidRPr="00CC3507" w:rsidRDefault="00371CC9" w:rsidP="00371CC9">
            <w:pPr>
              <w:spacing w:after="0"/>
              <w:jc w:val="both"/>
              <w:rPr>
                <w:rFonts w:ascii="Times New Roman" w:hAnsi="Times New Roman" w:cs="Times New Roman"/>
                <w:sz w:val="24"/>
                <w:szCs w:val="24"/>
              </w:rPr>
            </w:pPr>
            <w:proofErr w:type="spellStart"/>
            <w:r w:rsidRPr="00CC3507">
              <w:rPr>
                <w:rFonts w:ascii="Times New Roman" w:hAnsi="Times New Roman" w:cs="Times New Roman"/>
                <w:sz w:val="24"/>
                <w:szCs w:val="24"/>
              </w:rPr>
              <w:t>Gold</w:t>
            </w:r>
            <w:proofErr w:type="spellEnd"/>
            <w:r w:rsidRPr="00CC3507">
              <w:rPr>
                <w:rFonts w:ascii="Times New Roman" w:hAnsi="Times New Roman" w:cs="Times New Roman"/>
                <w:sz w:val="24"/>
                <w:szCs w:val="24"/>
              </w:rPr>
              <w:t xml:space="preserve"> </w:t>
            </w:r>
            <w:proofErr w:type="spellStart"/>
            <w:r w:rsidRPr="00CC3507">
              <w:rPr>
                <w:rFonts w:ascii="Times New Roman" w:hAnsi="Times New Roman" w:cs="Times New Roman"/>
                <w:sz w:val="24"/>
                <w:szCs w:val="24"/>
              </w:rPr>
              <w:t>for</w:t>
            </w:r>
            <w:proofErr w:type="spellEnd"/>
            <w:r w:rsidRPr="00CC3507">
              <w:rPr>
                <w:rFonts w:ascii="Times New Roman" w:hAnsi="Times New Roman" w:cs="Times New Roman"/>
                <w:sz w:val="24"/>
                <w:szCs w:val="24"/>
              </w:rPr>
              <w:t xml:space="preserve"> </w:t>
            </w:r>
            <w:proofErr w:type="spellStart"/>
            <w:r w:rsidRPr="00CC3507">
              <w:rPr>
                <w:rFonts w:ascii="Times New Roman" w:hAnsi="Times New Roman" w:cs="Times New Roman"/>
                <w:sz w:val="24"/>
                <w:szCs w:val="24"/>
              </w:rPr>
              <w:t>Russian</w:t>
            </w:r>
            <w:proofErr w:type="spellEnd"/>
            <w:r w:rsidRPr="00CC3507">
              <w:rPr>
                <w:rFonts w:ascii="Times New Roman" w:hAnsi="Times New Roman" w:cs="Times New Roman"/>
                <w:sz w:val="24"/>
                <w:szCs w:val="24"/>
              </w:rPr>
              <w:t xml:space="preserve"> </w:t>
            </w:r>
            <w:proofErr w:type="spellStart"/>
            <w:r w:rsidRPr="00CC3507">
              <w:rPr>
                <w:rFonts w:ascii="Times New Roman" w:hAnsi="Times New Roman" w:cs="Times New Roman"/>
                <w:sz w:val="24"/>
                <w:szCs w:val="24"/>
              </w:rPr>
              <w:t>roubles</w:t>
            </w:r>
            <w:proofErr w:type="spellEnd"/>
            <w:r w:rsidRPr="00CC3507">
              <w:rPr>
                <w:rFonts w:ascii="Times New Roman" w:hAnsi="Times New Roman" w:cs="Times New Roman"/>
                <w:sz w:val="24"/>
                <w:szCs w:val="24"/>
              </w:rPr>
              <w:t xml:space="preserve">: </w:t>
            </w:r>
          </w:p>
        </w:tc>
        <w:tc>
          <w:tcPr>
            <w:tcW w:w="2268" w:type="dxa"/>
          </w:tcPr>
          <w:p w:rsidR="00371CC9" w:rsidRPr="00CC3507" w:rsidRDefault="00371CC9" w:rsidP="00371CC9">
            <w:pPr>
              <w:spacing w:before="100" w:after="0"/>
              <w:jc w:val="center"/>
              <w:rPr>
                <w:rFonts w:ascii="Times New Roman" w:hAnsi="Times New Roman" w:cs="Times New Roman"/>
                <w:sz w:val="24"/>
                <w:szCs w:val="24"/>
              </w:rPr>
            </w:pPr>
          </w:p>
        </w:tc>
      </w:tr>
      <w:tr w:rsidR="00371CC9" w:rsidRPr="00CC3507" w:rsidTr="00371CC9">
        <w:trPr>
          <w:cantSplit/>
        </w:trPr>
        <w:tc>
          <w:tcPr>
            <w:tcW w:w="851" w:type="dxa"/>
          </w:tcPr>
          <w:p w:rsidR="00371CC9" w:rsidRPr="00CC3507" w:rsidRDefault="00371CC9" w:rsidP="00371CC9">
            <w:pPr>
              <w:keepNext/>
              <w:widowControl w:val="0"/>
              <w:numPr>
                <w:ilvl w:val="1"/>
                <w:numId w:val="6"/>
              </w:numPr>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sz w:val="24"/>
                <w:szCs w:val="24"/>
                <w:lang w:eastAsia="ru-RU"/>
              </w:rPr>
            </w:pPr>
          </w:p>
        </w:tc>
        <w:tc>
          <w:tcPr>
            <w:tcW w:w="6521" w:type="dxa"/>
          </w:tcPr>
          <w:p w:rsidR="00371CC9" w:rsidRPr="00CC3507" w:rsidRDefault="00371CC9" w:rsidP="00371CC9">
            <w:pPr>
              <w:spacing w:after="0"/>
              <w:jc w:val="both"/>
              <w:rPr>
                <w:rFonts w:ascii="Times New Roman" w:hAnsi="Times New Roman" w:cs="Times New Roman"/>
                <w:sz w:val="24"/>
                <w:szCs w:val="24"/>
                <w:lang w:val="en-US"/>
              </w:rPr>
            </w:pPr>
            <w:r w:rsidRPr="00CC3507">
              <w:rPr>
                <w:rFonts w:ascii="Times New Roman" w:hAnsi="Times New Roman" w:cs="Times New Roman"/>
                <w:sz w:val="24"/>
                <w:szCs w:val="24"/>
                <w:lang w:val="en-US"/>
              </w:rPr>
              <w:t>Buy-sell trades (non-systemic only) GLDRUB_TOD</w:t>
            </w:r>
          </w:p>
        </w:tc>
        <w:tc>
          <w:tcPr>
            <w:tcW w:w="2268" w:type="dxa"/>
          </w:tcPr>
          <w:p w:rsidR="00371CC9" w:rsidRPr="00CC3507" w:rsidRDefault="00371CC9" w:rsidP="00371CC9">
            <w:pPr>
              <w:spacing w:before="100" w:after="0"/>
              <w:jc w:val="center"/>
              <w:rPr>
                <w:rFonts w:ascii="Times New Roman" w:hAnsi="Times New Roman" w:cs="Times New Roman"/>
                <w:sz w:val="24"/>
                <w:szCs w:val="24"/>
              </w:rPr>
            </w:pPr>
            <w:r w:rsidRPr="00CC3507">
              <w:rPr>
                <w:rFonts w:ascii="Times New Roman" w:hAnsi="Times New Roman" w:cs="Times New Roman"/>
                <w:sz w:val="24"/>
                <w:szCs w:val="24"/>
              </w:rPr>
              <w:t>T</w:t>
            </w:r>
            <w:r w:rsidRPr="00CC3507">
              <w:rPr>
                <w:rFonts w:ascii="Times New Roman" w:hAnsi="Times New Roman" w:cs="Times New Roman"/>
                <w:sz w:val="24"/>
                <w:szCs w:val="24"/>
              </w:rPr>
              <w:footnoteReference w:id="2"/>
            </w:r>
          </w:p>
        </w:tc>
      </w:tr>
      <w:tr w:rsidR="00371CC9" w:rsidRPr="00CC3507" w:rsidTr="00371CC9">
        <w:trPr>
          <w:cantSplit/>
        </w:trPr>
        <w:tc>
          <w:tcPr>
            <w:tcW w:w="851" w:type="dxa"/>
          </w:tcPr>
          <w:p w:rsidR="00371CC9" w:rsidRPr="00CC3507" w:rsidRDefault="00371CC9" w:rsidP="00371CC9">
            <w:pPr>
              <w:keepNext/>
              <w:widowControl w:val="0"/>
              <w:numPr>
                <w:ilvl w:val="1"/>
                <w:numId w:val="6"/>
              </w:numPr>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sz w:val="24"/>
                <w:szCs w:val="24"/>
                <w:lang w:eastAsia="ru-RU"/>
              </w:rPr>
            </w:pPr>
          </w:p>
        </w:tc>
        <w:tc>
          <w:tcPr>
            <w:tcW w:w="6521" w:type="dxa"/>
          </w:tcPr>
          <w:p w:rsidR="00371CC9" w:rsidRPr="00CC3507" w:rsidRDefault="00371CC9" w:rsidP="00371CC9">
            <w:pPr>
              <w:spacing w:after="0"/>
              <w:jc w:val="both"/>
              <w:rPr>
                <w:rFonts w:ascii="Times New Roman" w:hAnsi="Times New Roman" w:cs="Times New Roman"/>
                <w:sz w:val="24"/>
                <w:szCs w:val="24"/>
                <w:lang w:val="en-US"/>
              </w:rPr>
            </w:pPr>
            <w:r w:rsidRPr="00CC3507">
              <w:rPr>
                <w:rFonts w:ascii="Times New Roman" w:hAnsi="Times New Roman" w:cs="Times New Roman"/>
                <w:sz w:val="24"/>
                <w:szCs w:val="24"/>
                <w:lang w:val="en-US"/>
              </w:rPr>
              <w:t>Buy-sell trades GLDRUB_TOM</w:t>
            </w:r>
          </w:p>
        </w:tc>
        <w:tc>
          <w:tcPr>
            <w:tcW w:w="2268" w:type="dxa"/>
          </w:tcPr>
          <w:p w:rsidR="00371CC9" w:rsidRPr="00CC3507" w:rsidRDefault="00371CC9" w:rsidP="00371CC9">
            <w:pPr>
              <w:spacing w:before="100" w:after="0"/>
              <w:jc w:val="center"/>
              <w:rPr>
                <w:rFonts w:ascii="Times New Roman" w:hAnsi="Times New Roman" w:cs="Times New Roman"/>
                <w:sz w:val="24"/>
                <w:szCs w:val="24"/>
              </w:rPr>
            </w:pPr>
            <w:r w:rsidRPr="00CC3507">
              <w:rPr>
                <w:rFonts w:ascii="Times New Roman" w:hAnsi="Times New Roman" w:cs="Times New Roman"/>
                <w:sz w:val="24"/>
                <w:szCs w:val="24"/>
              </w:rPr>
              <w:t>T + 1</w:t>
            </w:r>
          </w:p>
        </w:tc>
      </w:tr>
      <w:tr w:rsidR="00371CC9" w:rsidRPr="00CC3507" w:rsidTr="00371CC9">
        <w:trPr>
          <w:cantSplit/>
        </w:trPr>
        <w:tc>
          <w:tcPr>
            <w:tcW w:w="851" w:type="dxa"/>
          </w:tcPr>
          <w:p w:rsidR="00371CC9" w:rsidRPr="00CC3507" w:rsidRDefault="00371CC9" w:rsidP="00371CC9">
            <w:pPr>
              <w:keepNext/>
              <w:widowControl w:val="0"/>
              <w:numPr>
                <w:ilvl w:val="1"/>
                <w:numId w:val="6"/>
              </w:numPr>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sz w:val="24"/>
                <w:szCs w:val="24"/>
                <w:lang w:eastAsia="ru-RU"/>
              </w:rPr>
            </w:pPr>
          </w:p>
        </w:tc>
        <w:tc>
          <w:tcPr>
            <w:tcW w:w="6521" w:type="dxa"/>
          </w:tcPr>
          <w:p w:rsidR="00371CC9" w:rsidRPr="00CC3507" w:rsidRDefault="00371CC9" w:rsidP="00371CC9">
            <w:pPr>
              <w:spacing w:after="0"/>
              <w:jc w:val="both"/>
              <w:rPr>
                <w:rFonts w:ascii="Times New Roman" w:hAnsi="Times New Roman" w:cs="Times New Roman"/>
                <w:sz w:val="24"/>
                <w:szCs w:val="24"/>
                <w:lang w:val="en-US"/>
              </w:rPr>
            </w:pPr>
            <w:r w:rsidRPr="00CC3507">
              <w:rPr>
                <w:rFonts w:ascii="Times New Roman" w:hAnsi="Times New Roman" w:cs="Times New Roman"/>
                <w:sz w:val="24"/>
                <w:szCs w:val="24"/>
                <w:lang w:val="en-US"/>
              </w:rPr>
              <w:t>Buy-sell trades (non-systemic only) GLDRUB_ LTV</w:t>
            </w:r>
          </w:p>
        </w:tc>
        <w:tc>
          <w:tcPr>
            <w:tcW w:w="2268" w:type="dxa"/>
          </w:tcPr>
          <w:p w:rsidR="00371CC9" w:rsidRPr="00CC3507" w:rsidRDefault="00371CC9" w:rsidP="00371CC9">
            <w:pPr>
              <w:spacing w:before="100" w:after="0"/>
              <w:jc w:val="center"/>
              <w:rPr>
                <w:rFonts w:ascii="Times New Roman" w:hAnsi="Times New Roman" w:cs="Times New Roman"/>
                <w:sz w:val="24"/>
                <w:szCs w:val="24"/>
              </w:rPr>
            </w:pPr>
            <w:proofErr w:type="spellStart"/>
            <w:r w:rsidRPr="00CC3507">
              <w:rPr>
                <w:rFonts w:ascii="Times New Roman" w:hAnsi="Times New Roman" w:cs="Times New Roman"/>
                <w:sz w:val="24"/>
                <w:szCs w:val="24"/>
              </w:rPr>
              <w:t>from</w:t>
            </w:r>
            <w:proofErr w:type="spellEnd"/>
            <w:r w:rsidRPr="00CC3507">
              <w:rPr>
                <w:rFonts w:ascii="Times New Roman" w:hAnsi="Times New Roman" w:cs="Times New Roman"/>
                <w:sz w:val="24"/>
                <w:szCs w:val="24"/>
              </w:rPr>
              <w:t xml:space="preserve"> T+2 </w:t>
            </w:r>
            <w:proofErr w:type="spellStart"/>
            <w:r w:rsidRPr="00CC3507">
              <w:rPr>
                <w:rFonts w:ascii="Times New Roman" w:hAnsi="Times New Roman" w:cs="Times New Roman"/>
                <w:sz w:val="24"/>
                <w:szCs w:val="24"/>
              </w:rPr>
              <w:t>to</w:t>
            </w:r>
            <w:proofErr w:type="spellEnd"/>
            <w:r w:rsidRPr="00CC3507">
              <w:rPr>
                <w:rFonts w:ascii="Times New Roman" w:hAnsi="Times New Roman" w:cs="Times New Roman"/>
                <w:sz w:val="24"/>
                <w:szCs w:val="24"/>
              </w:rPr>
              <w:t xml:space="preserve"> T+184</w:t>
            </w:r>
          </w:p>
        </w:tc>
      </w:tr>
      <w:tr w:rsidR="00371CC9" w:rsidRPr="00CC3507" w:rsidTr="00371CC9">
        <w:trPr>
          <w:cantSplit/>
        </w:trPr>
        <w:tc>
          <w:tcPr>
            <w:tcW w:w="851" w:type="dxa"/>
          </w:tcPr>
          <w:p w:rsidR="00371CC9" w:rsidRPr="00CC3507" w:rsidRDefault="00371CC9" w:rsidP="00371CC9">
            <w:pPr>
              <w:keepNext/>
              <w:widowControl w:val="0"/>
              <w:numPr>
                <w:ilvl w:val="1"/>
                <w:numId w:val="6"/>
              </w:numPr>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sz w:val="24"/>
                <w:szCs w:val="24"/>
                <w:lang w:eastAsia="ru-RU"/>
              </w:rPr>
            </w:pPr>
          </w:p>
        </w:tc>
        <w:tc>
          <w:tcPr>
            <w:tcW w:w="6521" w:type="dxa"/>
          </w:tcPr>
          <w:p w:rsidR="00371CC9" w:rsidRPr="00CC3507" w:rsidRDefault="00371CC9" w:rsidP="00371CC9">
            <w:pPr>
              <w:spacing w:after="0"/>
              <w:jc w:val="both"/>
              <w:rPr>
                <w:rFonts w:ascii="Times New Roman" w:hAnsi="Times New Roman" w:cs="Times New Roman"/>
                <w:sz w:val="24"/>
                <w:szCs w:val="24"/>
              </w:rPr>
            </w:pPr>
            <w:proofErr w:type="spellStart"/>
            <w:r w:rsidRPr="00CC3507">
              <w:rPr>
                <w:rFonts w:ascii="Times New Roman" w:hAnsi="Times New Roman" w:cs="Times New Roman"/>
                <w:sz w:val="24"/>
                <w:szCs w:val="24"/>
              </w:rPr>
              <w:t>Swap</w:t>
            </w:r>
            <w:proofErr w:type="spellEnd"/>
            <w:r w:rsidRPr="00CC3507">
              <w:rPr>
                <w:rFonts w:ascii="Times New Roman" w:hAnsi="Times New Roman" w:cs="Times New Roman"/>
                <w:sz w:val="24"/>
                <w:szCs w:val="24"/>
              </w:rPr>
              <w:t xml:space="preserve"> </w:t>
            </w:r>
            <w:proofErr w:type="spellStart"/>
            <w:r w:rsidRPr="00CC3507">
              <w:rPr>
                <w:rFonts w:ascii="Times New Roman" w:hAnsi="Times New Roman" w:cs="Times New Roman"/>
                <w:sz w:val="24"/>
                <w:szCs w:val="24"/>
              </w:rPr>
              <w:t>trades</w:t>
            </w:r>
            <w:proofErr w:type="spellEnd"/>
            <w:r w:rsidRPr="00CC3507">
              <w:rPr>
                <w:rFonts w:ascii="Times New Roman" w:hAnsi="Times New Roman" w:cs="Times New Roman"/>
                <w:sz w:val="24"/>
                <w:szCs w:val="24"/>
              </w:rPr>
              <w:t xml:space="preserve"> GLD_TODTOM</w:t>
            </w:r>
          </w:p>
        </w:tc>
        <w:tc>
          <w:tcPr>
            <w:tcW w:w="2268" w:type="dxa"/>
          </w:tcPr>
          <w:p w:rsidR="00371CC9" w:rsidRPr="00CC3507" w:rsidRDefault="00371CC9" w:rsidP="00371CC9">
            <w:pPr>
              <w:spacing w:before="100" w:after="0"/>
              <w:jc w:val="center"/>
              <w:rPr>
                <w:rFonts w:ascii="Times New Roman" w:hAnsi="Times New Roman" w:cs="Times New Roman"/>
                <w:sz w:val="24"/>
                <w:szCs w:val="24"/>
              </w:rPr>
            </w:pPr>
            <w:r w:rsidRPr="00CC3507">
              <w:rPr>
                <w:rFonts w:ascii="Times New Roman" w:hAnsi="Times New Roman" w:cs="Times New Roman"/>
                <w:sz w:val="24"/>
                <w:szCs w:val="24"/>
              </w:rPr>
              <w:t>T / T+1</w:t>
            </w:r>
          </w:p>
        </w:tc>
      </w:tr>
      <w:tr w:rsidR="00371CC9" w:rsidRPr="00CC3507" w:rsidTr="00371CC9">
        <w:trPr>
          <w:cantSplit/>
        </w:trPr>
        <w:tc>
          <w:tcPr>
            <w:tcW w:w="851" w:type="dxa"/>
          </w:tcPr>
          <w:p w:rsidR="00371CC9" w:rsidRPr="00CC3507" w:rsidRDefault="00371CC9" w:rsidP="00371CC9">
            <w:pPr>
              <w:keepNext/>
              <w:widowControl w:val="0"/>
              <w:numPr>
                <w:ilvl w:val="1"/>
                <w:numId w:val="6"/>
              </w:numPr>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sz w:val="24"/>
                <w:szCs w:val="24"/>
                <w:lang w:eastAsia="ru-RU"/>
              </w:rPr>
            </w:pPr>
          </w:p>
        </w:tc>
        <w:tc>
          <w:tcPr>
            <w:tcW w:w="6521" w:type="dxa"/>
          </w:tcPr>
          <w:p w:rsidR="00371CC9" w:rsidRPr="00CC3507" w:rsidRDefault="00371CC9" w:rsidP="00371CC9">
            <w:pPr>
              <w:spacing w:after="0"/>
              <w:jc w:val="both"/>
              <w:rPr>
                <w:rFonts w:ascii="Times New Roman" w:hAnsi="Times New Roman" w:cs="Times New Roman"/>
                <w:sz w:val="24"/>
                <w:szCs w:val="24"/>
              </w:rPr>
            </w:pPr>
            <w:proofErr w:type="spellStart"/>
            <w:r w:rsidRPr="00CC3507">
              <w:rPr>
                <w:rFonts w:ascii="Times New Roman" w:hAnsi="Times New Roman" w:cs="Times New Roman"/>
                <w:sz w:val="24"/>
                <w:szCs w:val="24"/>
              </w:rPr>
              <w:t>Swap</w:t>
            </w:r>
            <w:proofErr w:type="spellEnd"/>
            <w:r w:rsidRPr="00CC3507">
              <w:rPr>
                <w:rFonts w:ascii="Times New Roman" w:hAnsi="Times New Roman" w:cs="Times New Roman"/>
                <w:sz w:val="24"/>
                <w:szCs w:val="24"/>
              </w:rPr>
              <w:t xml:space="preserve"> </w:t>
            </w:r>
            <w:proofErr w:type="spellStart"/>
            <w:r w:rsidRPr="00CC3507">
              <w:rPr>
                <w:rFonts w:ascii="Times New Roman" w:hAnsi="Times New Roman" w:cs="Times New Roman"/>
                <w:sz w:val="24"/>
                <w:szCs w:val="24"/>
              </w:rPr>
              <w:t>trades</w:t>
            </w:r>
            <w:proofErr w:type="spellEnd"/>
            <w:r w:rsidRPr="00CC3507">
              <w:rPr>
                <w:rFonts w:ascii="Times New Roman" w:hAnsi="Times New Roman" w:cs="Times New Roman"/>
                <w:sz w:val="24"/>
                <w:szCs w:val="24"/>
              </w:rPr>
              <w:t xml:space="preserve"> GLD_TOMSPT</w:t>
            </w:r>
          </w:p>
        </w:tc>
        <w:tc>
          <w:tcPr>
            <w:tcW w:w="2268" w:type="dxa"/>
            <w:shd w:val="clear" w:color="auto" w:fill="auto"/>
          </w:tcPr>
          <w:p w:rsidR="00371CC9" w:rsidRPr="00CC3507" w:rsidRDefault="00371CC9" w:rsidP="00371CC9">
            <w:pPr>
              <w:spacing w:before="100" w:after="0"/>
              <w:jc w:val="center"/>
              <w:rPr>
                <w:rFonts w:ascii="Times New Roman" w:hAnsi="Times New Roman" w:cs="Times New Roman"/>
                <w:sz w:val="24"/>
                <w:szCs w:val="24"/>
              </w:rPr>
            </w:pPr>
            <w:r w:rsidRPr="00CC3507">
              <w:rPr>
                <w:rFonts w:ascii="Times New Roman" w:hAnsi="Times New Roman" w:cs="Times New Roman"/>
                <w:sz w:val="24"/>
                <w:szCs w:val="24"/>
              </w:rPr>
              <w:t>T+1 / T+2</w:t>
            </w:r>
          </w:p>
        </w:tc>
      </w:tr>
      <w:tr w:rsidR="00371CC9" w:rsidRPr="00CC3507" w:rsidTr="00371CC9">
        <w:trPr>
          <w:cantSplit/>
        </w:trPr>
        <w:tc>
          <w:tcPr>
            <w:tcW w:w="851" w:type="dxa"/>
          </w:tcPr>
          <w:p w:rsidR="00371CC9" w:rsidRPr="00CC3507" w:rsidRDefault="00371CC9" w:rsidP="00371CC9">
            <w:pPr>
              <w:keepNext/>
              <w:widowControl w:val="0"/>
              <w:numPr>
                <w:ilvl w:val="1"/>
                <w:numId w:val="6"/>
              </w:numPr>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sz w:val="24"/>
                <w:szCs w:val="24"/>
                <w:lang w:eastAsia="ru-RU"/>
              </w:rPr>
            </w:pPr>
          </w:p>
        </w:tc>
        <w:tc>
          <w:tcPr>
            <w:tcW w:w="6521" w:type="dxa"/>
          </w:tcPr>
          <w:p w:rsidR="00371CC9" w:rsidRPr="00CC3507" w:rsidRDefault="00371CC9" w:rsidP="00371CC9">
            <w:pPr>
              <w:spacing w:after="0"/>
              <w:jc w:val="both"/>
              <w:rPr>
                <w:rFonts w:ascii="Times New Roman" w:hAnsi="Times New Roman" w:cs="Times New Roman"/>
                <w:sz w:val="24"/>
                <w:szCs w:val="24"/>
              </w:rPr>
            </w:pPr>
            <w:proofErr w:type="spellStart"/>
            <w:r w:rsidRPr="00CC3507">
              <w:rPr>
                <w:rFonts w:ascii="Times New Roman" w:hAnsi="Times New Roman" w:cs="Times New Roman"/>
                <w:sz w:val="24"/>
                <w:szCs w:val="24"/>
              </w:rPr>
              <w:t>Swap</w:t>
            </w:r>
            <w:proofErr w:type="spellEnd"/>
            <w:r w:rsidRPr="00CC3507">
              <w:rPr>
                <w:rFonts w:ascii="Times New Roman" w:hAnsi="Times New Roman" w:cs="Times New Roman"/>
                <w:sz w:val="24"/>
                <w:szCs w:val="24"/>
              </w:rPr>
              <w:t xml:space="preserve"> </w:t>
            </w:r>
            <w:proofErr w:type="spellStart"/>
            <w:r w:rsidRPr="00CC3507">
              <w:rPr>
                <w:rFonts w:ascii="Times New Roman" w:hAnsi="Times New Roman" w:cs="Times New Roman"/>
                <w:sz w:val="24"/>
                <w:szCs w:val="24"/>
              </w:rPr>
              <w:t>trades</w:t>
            </w:r>
            <w:proofErr w:type="spellEnd"/>
            <w:r w:rsidRPr="00CC3507">
              <w:rPr>
                <w:rFonts w:ascii="Times New Roman" w:hAnsi="Times New Roman" w:cs="Times New Roman"/>
                <w:sz w:val="24"/>
                <w:szCs w:val="24"/>
              </w:rPr>
              <w:t xml:space="preserve"> GLD_TOM1W</w:t>
            </w:r>
          </w:p>
        </w:tc>
        <w:tc>
          <w:tcPr>
            <w:tcW w:w="2268" w:type="dxa"/>
            <w:shd w:val="clear" w:color="auto" w:fill="auto"/>
          </w:tcPr>
          <w:p w:rsidR="00371CC9" w:rsidRPr="00CC3507" w:rsidRDefault="00371CC9" w:rsidP="00371CC9">
            <w:pPr>
              <w:spacing w:before="100" w:after="0"/>
              <w:jc w:val="center"/>
              <w:rPr>
                <w:rFonts w:ascii="Times New Roman" w:hAnsi="Times New Roman" w:cs="Times New Roman"/>
                <w:sz w:val="24"/>
                <w:szCs w:val="24"/>
              </w:rPr>
            </w:pPr>
            <w:r w:rsidRPr="00CC3507">
              <w:rPr>
                <w:rFonts w:ascii="Times New Roman" w:hAnsi="Times New Roman" w:cs="Times New Roman"/>
                <w:sz w:val="24"/>
                <w:szCs w:val="24"/>
              </w:rPr>
              <w:t>T+1 / T+8</w:t>
            </w:r>
          </w:p>
        </w:tc>
      </w:tr>
      <w:tr w:rsidR="00371CC9" w:rsidRPr="00CC3507" w:rsidTr="00371CC9">
        <w:trPr>
          <w:cantSplit/>
        </w:trPr>
        <w:tc>
          <w:tcPr>
            <w:tcW w:w="851" w:type="dxa"/>
          </w:tcPr>
          <w:p w:rsidR="00371CC9" w:rsidRPr="00CC3507" w:rsidRDefault="00371CC9" w:rsidP="00371CC9">
            <w:pPr>
              <w:keepNext/>
              <w:widowControl w:val="0"/>
              <w:numPr>
                <w:ilvl w:val="1"/>
                <w:numId w:val="6"/>
              </w:numPr>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sz w:val="24"/>
                <w:szCs w:val="24"/>
                <w:lang w:eastAsia="ru-RU"/>
              </w:rPr>
            </w:pPr>
          </w:p>
        </w:tc>
        <w:tc>
          <w:tcPr>
            <w:tcW w:w="6521" w:type="dxa"/>
          </w:tcPr>
          <w:p w:rsidR="00371CC9" w:rsidRPr="00CC3507" w:rsidRDefault="00371CC9" w:rsidP="00371CC9">
            <w:pPr>
              <w:spacing w:after="0"/>
              <w:jc w:val="both"/>
              <w:rPr>
                <w:rFonts w:ascii="Times New Roman" w:hAnsi="Times New Roman" w:cs="Times New Roman"/>
                <w:sz w:val="24"/>
                <w:szCs w:val="24"/>
              </w:rPr>
            </w:pPr>
            <w:proofErr w:type="spellStart"/>
            <w:r w:rsidRPr="00CC3507">
              <w:rPr>
                <w:rFonts w:ascii="Times New Roman" w:hAnsi="Times New Roman" w:cs="Times New Roman"/>
                <w:sz w:val="24"/>
                <w:szCs w:val="24"/>
              </w:rPr>
              <w:t>Swap</w:t>
            </w:r>
            <w:proofErr w:type="spellEnd"/>
            <w:r w:rsidRPr="00CC3507">
              <w:rPr>
                <w:rFonts w:ascii="Times New Roman" w:hAnsi="Times New Roman" w:cs="Times New Roman"/>
                <w:sz w:val="24"/>
                <w:szCs w:val="24"/>
              </w:rPr>
              <w:t xml:space="preserve"> </w:t>
            </w:r>
            <w:proofErr w:type="spellStart"/>
            <w:r w:rsidRPr="00CC3507">
              <w:rPr>
                <w:rFonts w:ascii="Times New Roman" w:hAnsi="Times New Roman" w:cs="Times New Roman"/>
                <w:sz w:val="24"/>
                <w:szCs w:val="24"/>
              </w:rPr>
              <w:t>trades</w:t>
            </w:r>
            <w:proofErr w:type="spellEnd"/>
            <w:r w:rsidRPr="00CC3507">
              <w:rPr>
                <w:rFonts w:ascii="Times New Roman" w:hAnsi="Times New Roman" w:cs="Times New Roman"/>
                <w:sz w:val="24"/>
                <w:szCs w:val="24"/>
              </w:rPr>
              <w:t xml:space="preserve"> GLD_TOM1M</w:t>
            </w:r>
          </w:p>
        </w:tc>
        <w:tc>
          <w:tcPr>
            <w:tcW w:w="2268" w:type="dxa"/>
            <w:shd w:val="clear" w:color="auto" w:fill="auto"/>
          </w:tcPr>
          <w:p w:rsidR="00371CC9" w:rsidRPr="00CC3507" w:rsidRDefault="00371CC9" w:rsidP="00371CC9">
            <w:pPr>
              <w:spacing w:before="100" w:after="0"/>
              <w:jc w:val="center"/>
              <w:rPr>
                <w:rFonts w:ascii="Times New Roman" w:hAnsi="Times New Roman" w:cs="Times New Roman"/>
                <w:sz w:val="24"/>
                <w:szCs w:val="24"/>
              </w:rPr>
            </w:pPr>
            <w:r w:rsidRPr="00CC3507">
              <w:rPr>
                <w:rFonts w:ascii="Times New Roman" w:hAnsi="Times New Roman" w:cs="Times New Roman"/>
                <w:sz w:val="24"/>
                <w:szCs w:val="24"/>
              </w:rPr>
              <w:t xml:space="preserve">T+1 / T+1 </w:t>
            </w:r>
            <w:proofErr w:type="spellStart"/>
            <w:r w:rsidRPr="00CC3507">
              <w:rPr>
                <w:rFonts w:ascii="Times New Roman" w:hAnsi="Times New Roman" w:cs="Times New Roman"/>
                <w:sz w:val="24"/>
                <w:szCs w:val="24"/>
              </w:rPr>
              <w:t>month</w:t>
            </w:r>
            <w:proofErr w:type="spellEnd"/>
          </w:p>
        </w:tc>
      </w:tr>
      <w:tr w:rsidR="00371CC9" w:rsidRPr="00CC3507" w:rsidTr="00371CC9">
        <w:trPr>
          <w:cantSplit/>
        </w:trPr>
        <w:tc>
          <w:tcPr>
            <w:tcW w:w="851" w:type="dxa"/>
          </w:tcPr>
          <w:p w:rsidR="00371CC9" w:rsidRPr="00CC3507" w:rsidRDefault="00371CC9" w:rsidP="00371CC9">
            <w:pPr>
              <w:keepNext/>
              <w:widowControl w:val="0"/>
              <w:numPr>
                <w:ilvl w:val="1"/>
                <w:numId w:val="6"/>
              </w:numPr>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sz w:val="24"/>
                <w:szCs w:val="24"/>
                <w:lang w:eastAsia="ru-RU"/>
              </w:rPr>
            </w:pPr>
          </w:p>
        </w:tc>
        <w:tc>
          <w:tcPr>
            <w:tcW w:w="6521" w:type="dxa"/>
          </w:tcPr>
          <w:p w:rsidR="00371CC9" w:rsidRPr="00CC3507" w:rsidRDefault="00371CC9" w:rsidP="00371CC9">
            <w:pPr>
              <w:spacing w:after="0"/>
              <w:jc w:val="both"/>
              <w:rPr>
                <w:rFonts w:ascii="Times New Roman" w:hAnsi="Times New Roman" w:cs="Times New Roman"/>
                <w:sz w:val="24"/>
                <w:szCs w:val="24"/>
              </w:rPr>
            </w:pPr>
            <w:proofErr w:type="spellStart"/>
            <w:r w:rsidRPr="00CC3507">
              <w:rPr>
                <w:rFonts w:ascii="Times New Roman" w:hAnsi="Times New Roman" w:cs="Times New Roman"/>
                <w:sz w:val="24"/>
                <w:szCs w:val="24"/>
              </w:rPr>
              <w:t>Swap</w:t>
            </w:r>
            <w:proofErr w:type="spellEnd"/>
            <w:r w:rsidRPr="00CC3507">
              <w:rPr>
                <w:rFonts w:ascii="Times New Roman" w:hAnsi="Times New Roman" w:cs="Times New Roman"/>
                <w:sz w:val="24"/>
                <w:szCs w:val="24"/>
              </w:rPr>
              <w:t xml:space="preserve"> </w:t>
            </w:r>
            <w:proofErr w:type="spellStart"/>
            <w:r w:rsidRPr="00CC3507">
              <w:rPr>
                <w:rFonts w:ascii="Times New Roman" w:hAnsi="Times New Roman" w:cs="Times New Roman"/>
                <w:sz w:val="24"/>
                <w:szCs w:val="24"/>
              </w:rPr>
              <w:t>trades</w:t>
            </w:r>
            <w:proofErr w:type="spellEnd"/>
            <w:r w:rsidRPr="00CC3507">
              <w:rPr>
                <w:rFonts w:ascii="Times New Roman" w:hAnsi="Times New Roman" w:cs="Times New Roman"/>
                <w:sz w:val="24"/>
                <w:szCs w:val="24"/>
              </w:rPr>
              <w:t xml:space="preserve"> GLD_TOM6M</w:t>
            </w:r>
          </w:p>
        </w:tc>
        <w:tc>
          <w:tcPr>
            <w:tcW w:w="2268" w:type="dxa"/>
            <w:shd w:val="clear" w:color="auto" w:fill="auto"/>
          </w:tcPr>
          <w:p w:rsidR="00371CC9" w:rsidRPr="00CC3507" w:rsidRDefault="00371CC9" w:rsidP="00371CC9">
            <w:pPr>
              <w:spacing w:before="100" w:after="0"/>
              <w:jc w:val="center"/>
              <w:rPr>
                <w:rFonts w:ascii="Times New Roman" w:hAnsi="Times New Roman" w:cs="Times New Roman"/>
                <w:sz w:val="24"/>
                <w:szCs w:val="24"/>
              </w:rPr>
            </w:pPr>
            <w:r w:rsidRPr="00CC3507">
              <w:rPr>
                <w:rFonts w:ascii="Times New Roman" w:hAnsi="Times New Roman" w:cs="Times New Roman"/>
                <w:sz w:val="24"/>
                <w:szCs w:val="24"/>
              </w:rPr>
              <w:t xml:space="preserve">T+1 / T+6 </w:t>
            </w:r>
            <w:proofErr w:type="spellStart"/>
            <w:r w:rsidRPr="00CC3507">
              <w:rPr>
                <w:rFonts w:ascii="Times New Roman" w:hAnsi="Times New Roman" w:cs="Times New Roman"/>
                <w:sz w:val="24"/>
                <w:szCs w:val="24"/>
              </w:rPr>
              <w:t>months</w:t>
            </w:r>
            <w:proofErr w:type="spellEnd"/>
          </w:p>
        </w:tc>
      </w:tr>
      <w:tr w:rsidR="00371CC9" w:rsidRPr="00CC3507" w:rsidTr="00371CC9">
        <w:trPr>
          <w:cantSplit/>
        </w:trPr>
        <w:tc>
          <w:tcPr>
            <w:tcW w:w="851" w:type="dxa"/>
          </w:tcPr>
          <w:p w:rsidR="00371CC9" w:rsidRPr="00CC3507" w:rsidRDefault="00371CC9" w:rsidP="00371CC9">
            <w:pPr>
              <w:keepNext/>
              <w:widowControl w:val="0"/>
              <w:numPr>
                <w:ilvl w:val="0"/>
                <w:numId w:val="6"/>
              </w:numPr>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b/>
                <w:sz w:val="24"/>
                <w:szCs w:val="24"/>
                <w:lang w:eastAsia="ru-RU"/>
              </w:rPr>
            </w:pPr>
          </w:p>
        </w:tc>
        <w:tc>
          <w:tcPr>
            <w:tcW w:w="6521" w:type="dxa"/>
          </w:tcPr>
          <w:p w:rsidR="00371CC9" w:rsidRPr="00CC3507" w:rsidRDefault="00371CC9" w:rsidP="00371CC9">
            <w:pPr>
              <w:spacing w:after="0"/>
              <w:jc w:val="both"/>
              <w:rPr>
                <w:rFonts w:ascii="Times New Roman" w:hAnsi="Times New Roman" w:cs="Times New Roman"/>
                <w:sz w:val="24"/>
                <w:szCs w:val="24"/>
              </w:rPr>
            </w:pPr>
            <w:proofErr w:type="spellStart"/>
            <w:r w:rsidRPr="00CC3507">
              <w:rPr>
                <w:rFonts w:ascii="Times New Roman" w:hAnsi="Times New Roman" w:cs="Times New Roman"/>
                <w:sz w:val="24"/>
                <w:szCs w:val="24"/>
              </w:rPr>
              <w:t>Silver</w:t>
            </w:r>
            <w:proofErr w:type="spellEnd"/>
            <w:r w:rsidRPr="00CC3507">
              <w:rPr>
                <w:rFonts w:ascii="Times New Roman" w:hAnsi="Times New Roman" w:cs="Times New Roman"/>
                <w:sz w:val="24"/>
                <w:szCs w:val="24"/>
              </w:rPr>
              <w:t xml:space="preserve"> </w:t>
            </w:r>
            <w:proofErr w:type="spellStart"/>
            <w:r w:rsidRPr="00CC3507">
              <w:rPr>
                <w:rFonts w:ascii="Times New Roman" w:hAnsi="Times New Roman" w:cs="Times New Roman"/>
                <w:sz w:val="24"/>
                <w:szCs w:val="24"/>
              </w:rPr>
              <w:t>for</w:t>
            </w:r>
            <w:proofErr w:type="spellEnd"/>
            <w:r w:rsidRPr="00CC3507">
              <w:rPr>
                <w:rFonts w:ascii="Times New Roman" w:hAnsi="Times New Roman" w:cs="Times New Roman"/>
                <w:sz w:val="24"/>
                <w:szCs w:val="24"/>
              </w:rPr>
              <w:t xml:space="preserve"> </w:t>
            </w:r>
            <w:proofErr w:type="spellStart"/>
            <w:r w:rsidRPr="00CC3507">
              <w:rPr>
                <w:rFonts w:ascii="Times New Roman" w:hAnsi="Times New Roman" w:cs="Times New Roman"/>
                <w:sz w:val="24"/>
                <w:szCs w:val="24"/>
              </w:rPr>
              <w:t>Russian</w:t>
            </w:r>
            <w:proofErr w:type="spellEnd"/>
            <w:r w:rsidRPr="00CC3507">
              <w:rPr>
                <w:rFonts w:ascii="Times New Roman" w:hAnsi="Times New Roman" w:cs="Times New Roman"/>
                <w:sz w:val="24"/>
                <w:szCs w:val="24"/>
              </w:rPr>
              <w:t xml:space="preserve"> </w:t>
            </w:r>
            <w:proofErr w:type="spellStart"/>
            <w:r w:rsidRPr="00CC3507">
              <w:rPr>
                <w:rFonts w:ascii="Times New Roman" w:hAnsi="Times New Roman" w:cs="Times New Roman"/>
                <w:sz w:val="24"/>
                <w:szCs w:val="24"/>
              </w:rPr>
              <w:t>roubles</w:t>
            </w:r>
            <w:proofErr w:type="spellEnd"/>
            <w:r w:rsidRPr="00CC3507">
              <w:rPr>
                <w:rFonts w:ascii="Times New Roman" w:hAnsi="Times New Roman" w:cs="Times New Roman"/>
                <w:sz w:val="24"/>
                <w:szCs w:val="24"/>
              </w:rPr>
              <w:t>:</w:t>
            </w:r>
          </w:p>
        </w:tc>
        <w:tc>
          <w:tcPr>
            <w:tcW w:w="2268" w:type="dxa"/>
            <w:shd w:val="clear" w:color="auto" w:fill="auto"/>
          </w:tcPr>
          <w:p w:rsidR="00371CC9" w:rsidRPr="00CC3507" w:rsidRDefault="00371CC9" w:rsidP="00371CC9">
            <w:pPr>
              <w:spacing w:before="100" w:after="0"/>
              <w:jc w:val="center"/>
              <w:rPr>
                <w:rFonts w:ascii="Times New Roman" w:hAnsi="Times New Roman" w:cs="Times New Roman"/>
                <w:sz w:val="24"/>
                <w:szCs w:val="24"/>
              </w:rPr>
            </w:pPr>
          </w:p>
        </w:tc>
      </w:tr>
      <w:tr w:rsidR="00371CC9" w:rsidRPr="00CC3507" w:rsidTr="00371CC9">
        <w:trPr>
          <w:cantSplit/>
        </w:trPr>
        <w:tc>
          <w:tcPr>
            <w:tcW w:w="851" w:type="dxa"/>
          </w:tcPr>
          <w:p w:rsidR="00371CC9" w:rsidRPr="00CC3507" w:rsidRDefault="00371CC9" w:rsidP="00371CC9">
            <w:pPr>
              <w:keepNext/>
              <w:widowControl w:val="0"/>
              <w:numPr>
                <w:ilvl w:val="1"/>
                <w:numId w:val="6"/>
              </w:numPr>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sz w:val="24"/>
                <w:szCs w:val="24"/>
                <w:lang w:eastAsia="ru-RU"/>
              </w:rPr>
            </w:pPr>
          </w:p>
        </w:tc>
        <w:tc>
          <w:tcPr>
            <w:tcW w:w="6521" w:type="dxa"/>
          </w:tcPr>
          <w:p w:rsidR="00371CC9" w:rsidRPr="00CC3507" w:rsidRDefault="00371CC9" w:rsidP="00371CC9">
            <w:pPr>
              <w:spacing w:after="0"/>
              <w:jc w:val="both"/>
              <w:rPr>
                <w:rFonts w:ascii="Times New Roman" w:hAnsi="Times New Roman" w:cs="Times New Roman"/>
                <w:sz w:val="24"/>
                <w:szCs w:val="24"/>
                <w:lang w:val="en-US"/>
              </w:rPr>
            </w:pPr>
            <w:r w:rsidRPr="00CC3507">
              <w:rPr>
                <w:rFonts w:ascii="Times New Roman" w:hAnsi="Times New Roman" w:cs="Times New Roman"/>
                <w:sz w:val="24"/>
                <w:szCs w:val="24"/>
                <w:lang w:val="en-US"/>
              </w:rPr>
              <w:t>Buy-sell trades (non-systemic only) SLVRUB_TOD</w:t>
            </w:r>
          </w:p>
        </w:tc>
        <w:tc>
          <w:tcPr>
            <w:tcW w:w="2268" w:type="dxa"/>
            <w:shd w:val="clear" w:color="auto" w:fill="auto"/>
          </w:tcPr>
          <w:p w:rsidR="00371CC9" w:rsidRPr="00CC3507" w:rsidRDefault="00371CC9" w:rsidP="00371CC9">
            <w:pPr>
              <w:spacing w:before="100" w:after="0"/>
              <w:jc w:val="center"/>
              <w:rPr>
                <w:rFonts w:ascii="Times New Roman" w:hAnsi="Times New Roman" w:cs="Times New Roman"/>
                <w:sz w:val="24"/>
                <w:szCs w:val="24"/>
              </w:rPr>
            </w:pPr>
            <w:r w:rsidRPr="00CC3507">
              <w:rPr>
                <w:rFonts w:ascii="Times New Roman" w:hAnsi="Times New Roman" w:cs="Times New Roman"/>
                <w:sz w:val="24"/>
                <w:szCs w:val="24"/>
              </w:rPr>
              <w:t>T</w:t>
            </w:r>
          </w:p>
        </w:tc>
      </w:tr>
      <w:tr w:rsidR="00371CC9" w:rsidRPr="00CC3507" w:rsidTr="00371CC9">
        <w:trPr>
          <w:cantSplit/>
        </w:trPr>
        <w:tc>
          <w:tcPr>
            <w:tcW w:w="851" w:type="dxa"/>
          </w:tcPr>
          <w:p w:rsidR="00371CC9" w:rsidRPr="00CC3507" w:rsidRDefault="00371CC9" w:rsidP="00371CC9">
            <w:pPr>
              <w:keepNext/>
              <w:widowControl w:val="0"/>
              <w:numPr>
                <w:ilvl w:val="1"/>
                <w:numId w:val="6"/>
              </w:numPr>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sz w:val="24"/>
                <w:szCs w:val="24"/>
                <w:lang w:eastAsia="ru-RU"/>
              </w:rPr>
            </w:pPr>
          </w:p>
        </w:tc>
        <w:tc>
          <w:tcPr>
            <w:tcW w:w="6521" w:type="dxa"/>
          </w:tcPr>
          <w:p w:rsidR="00371CC9" w:rsidRPr="00CC3507" w:rsidRDefault="00371CC9" w:rsidP="00371CC9">
            <w:pPr>
              <w:spacing w:after="0"/>
              <w:jc w:val="both"/>
              <w:rPr>
                <w:rFonts w:ascii="Times New Roman" w:hAnsi="Times New Roman" w:cs="Times New Roman"/>
                <w:sz w:val="24"/>
                <w:szCs w:val="24"/>
                <w:lang w:val="en-US"/>
              </w:rPr>
            </w:pPr>
            <w:r w:rsidRPr="00CC3507">
              <w:rPr>
                <w:rFonts w:ascii="Times New Roman" w:hAnsi="Times New Roman" w:cs="Times New Roman"/>
                <w:sz w:val="24"/>
                <w:szCs w:val="24"/>
                <w:lang w:val="en-US"/>
              </w:rPr>
              <w:t xml:space="preserve">Buy-sell trades </w:t>
            </w:r>
            <w:proofErr w:type="spellStart"/>
            <w:r w:rsidRPr="00CC3507">
              <w:rPr>
                <w:rFonts w:ascii="Times New Roman" w:hAnsi="Times New Roman" w:cs="Times New Roman"/>
                <w:sz w:val="24"/>
                <w:szCs w:val="24"/>
                <w:lang w:val="en-US"/>
              </w:rPr>
              <w:t>trades</w:t>
            </w:r>
            <w:proofErr w:type="spellEnd"/>
            <w:r w:rsidRPr="00CC3507">
              <w:rPr>
                <w:rFonts w:ascii="Times New Roman" w:hAnsi="Times New Roman" w:cs="Times New Roman"/>
                <w:sz w:val="24"/>
                <w:szCs w:val="24"/>
                <w:lang w:val="en-US"/>
              </w:rPr>
              <w:t xml:space="preserve"> SLVRUB_TOM</w:t>
            </w:r>
          </w:p>
        </w:tc>
        <w:tc>
          <w:tcPr>
            <w:tcW w:w="2268" w:type="dxa"/>
            <w:shd w:val="clear" w:color="auto" w:fill="auto"/>
          </w:tcPr>
          <w:p w:rsidR="00371CC9" w:rsidRPr="00CC3507" w:rsidRDefault="00371CC9" w:rsidP="00371CC9">
            <w:pPr>
              <w:spacing w:before="100" w:after="0"/>
              <w:jc w:val="center"/>
              <w:rPr>
                <w:rFonts w:ascii="Times New Roman" w:hAnsi="Times New Roman" w:cs="Times New Roman"/>
                <w:sz w:val="24"/>
                <w:szCs w:val="24"/>
              </w:rPr>
            </w:pPr>
            <w:r w:rsidRPr="00CC3507">
              <w:rPr>
                <w:rFonts w:ascii="Times New Roman" w:hAnsi="Times New Roman" w:cs="Times New Roman"/>
                <w:sz w:val="24"/>
                <w:szCs w:val="24"/>
              </w:rPr>
              <w:t>T + 1</w:t>
            </w:r>
          </w:p>
        </w:tc>
      </w:tr>
      <w:tr w:rsidR="00371CC9" w:rsidRPr="00CC3507" w:rsidTr="00371CC9">
        <w:trPr>
          <w:cantSplit/>
        </w:trPr>
        <w:tc>
          <w:tcPr>
            <w:tcW w:w="851" w:type="dxa"/>
          </w:tcPr>
          <w:p w:rsidR="00371CC9" w:rsidRPr="00CC3507" w:rsidRDefault="00371CC9" w:rsidP="00371CC9">
            <w:pPr>
              <w:keepNext/>
              <w:widowControl w:val="0"/>
              <w:numPr>
                <w:ilvl w:val="1"/>
                <w:numId w:val="6"/>
              </w:numPr>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sz w:val="24"/>
                <w:szCs w:val="24"/>
                <w:lang w:eastAsia="ru-RU"/>
              </w:rPr>
            </w:pPr>
          </w:p>
        </w:tc>
        <w:tc>
          <w:tcPr>
            <w:tcW w:w="6521" w:type="dxa"/>
          </w:tcPr>
          <w:p w:rsidR="00371CC9" w:rsidRPr="00CC3507" w:rsidRDefault="00371CC9" w:rsidP="00371CC9">
            <w:pPr>
              <w:spacing w:after="0"/>
              <w:jc w:val="both"/>
              <w:rPr>
                <w:rFonts w:ascii="Times New Roman" w:hAnsi="Times New Roman" w:cs="Times New Roman"/>
                <w:sz w:val="24"/>
                <w:szCs w:val="24"/>
                <w:lang w:val="en-US"/>
              </w:rPr>
            </w:pPr>
            <w:r w:rsidRPr="00CC3507">
              <w:rPr>
                <w:rFonts w:ascii="Times New Roman" w:hAnsi="Times New Roman" w:cs="Times New Roman"/>
                <w:sz w:val="24"/>
                <w:szCs w:val="24"/>
                <w:lang w:val="en-US"/>
              </w:rPr>
              <w:t>Buy-sell trades (non-systemic only) SLVRUB_ LTV</w:t>
            </w:r>
          </w:p>
        </w:tc>
        <w:tc>
          <w:tcPr>
            <w:tcW w:w="2268" w:type="dxa"/>
            <w:shd w:val="clear" w:color="auto" w:fill="auto"/>
          </w:tcPr>
          <w:p w:rsidR="00371CC9" w:rsidRPr="00CC3507" w:rsidRDefault="00371CC9" w:rsidP="00371CC9">
            <w:pPr>
              <w:spacing w:before="100" w:after="0"/>
              <w:jc w:val="center"/>
              <w:rPr>
                <w:rFonts w:ascii="Times New Roman" w:hAnsi="Times New Roman" w:cs="Times New Roman"/>
                <w:sz w:val="24"/>
                <w:szCs w:val="24"/>
              </w:rPr>
            </w:pPr>
            <w:proofErr w:type="spellStart"/>
            <w:r w:rsidRPr="00CC3507">
              <w:rPr>
                <w:rFonts w:ascii="Times New Roman" w:hAnsi="Times New Roman" w:cs="Times New Roman"/>
                <w:sz w:val="24"/>
                <w:szCs w:val="24"/>
              </w:rPr>
              <w:t>from</w:t>
            </w:r>
            <w:proofErr w:type="spellEnd"/>
            <w:r w:rsidRPr="00CC3507">
              <w:rPr>
                <w:rFonts w:ascii="Times New Roman" w:hAnsi="Times New Roman" w:cs="Times New Roman"/>
                <w:sz w:val="24"/>
                <w:szCs w:val="24"/>
              </w:rPr>
              <w:t xml:space="preserve"> T+2 </w:t>
            </w:r>
            <w:proofErr w:type="spellStart"/>
            <w:r w:rsidRPr="00CC3507">
              <w:rPr>
                <w:rFonts w:ascii="Times New Roman" w:hAnsi="Times New Roman" w:cs="Times New Roman"/>
                <w:sz w:val="24"/>
                <w:szCs w:val="24"/>
              </w:rPr>
              <w:t>to</w:t>
            </w:r>
            <w:proofErr w:type="spellEnd"/>
            <w:r w:rsidRPr="00CC3507">
              <w:rPr>
                <w:rFonts w:ascii="Times New Roman" w:hAnsi="Times New Roman" w:cs="Times New Roman"/>
                <w:sz w:val="24"/>
                <w:szCs w:val="24"/>
              </w:rPr>
              <w:t xml:space="preserve"> T+184</w:t>
            </w:r>
          </w:p>
        </w:tc>
      </w:tr>
      <w:tr w:rsidR="00371CC9" w:rsidRPr="00CC3507" w:rsidTr="00371CC9">
        <w:trPr>
          <w:cantSplit/>
        </w:trPr>
        <w:tc>
          <w:tcPr>
            <w:tcW w:w="851" w:type="dxa"/>
          </w:tcPr>
          <w:p w:rsidR="00371CC9" w:rsidRPr="00CC3507" w:rsidRDefault="00371CC9" w:rsidP="00371CC9">
            <w:pPr>
              <w:keepNext/>
              <w:widowControl w:val="0"/>
              <w:numPr>
                <w:ilvl w:val="1"/>
                <w:numId w:val="6"/>
              </w:numPr>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sz w:val="24"/>
                <w:szCs w:val="24"/>
                <w:lang w:eastAsia="ru-RU"/>
              </w:rPr>
            </w:pPr>
          </w:p>
        </w:tc>
        <w:tc>
          <w:tcPr>
            <w:tcW w:w="6521" w:type="dxa"/>
          </w:tcPr>
          <w:p w:rsidR="00371CC9" w:rsidRPr="00CC3507" w:rsidRDefault="00371CC9" w:rsidP="00371CC9">
            <w:pPr>
              <w:spacing w:after="0"/>
              <w:jc w:val="both"/>
              <w:rPr>
                <w:rFonts w:ascii="Times New Roman" w:hAnsi="Times New Roman" w:cs="Times New Roman"/>
                <w:sz w:val="24"/>
                <w:szCs w:val="24"/>
              </w:rPr>
            </w:pPr>
            <w:proofErr w:type="spellStart"/>
            <w:r w:rsidRPr="00CC3507">
              <w:rPr>
                <w:rFonts w:ascii="Times New Roman" w:hAnsi="Times New Roman" w:cs="Times New Roman"/>
                <w:sz w:val="24"/>
                <w:szCs w:val="24"/>
              </w:rPr>
              <w:t>Swap</w:t>
            </w:r>
            <w:proofErr w:type="spellEnd"/>
            <w:r w:rsidRPr="00CC3507">
              <w:rPr>
                <w:rFonts w:ascii="Times New Roman" w:hAnsi="Times New Roman" w:cs="Times New Roman"/>
                <w:sz w:val="24"/>
                <w:szCs w:val="24"/>
              </w:rPr>
              <w:t xml:space="preserve"> </w:t>
            </w:r>
            <w:proofErr w:type="spellStart"/>
            <w:r w:rsidRPr="00CC3507">
              <w:rPr>
                <w:rFonts w:ascii="Times New Roman" w:hAnsi="Times New Roman" w:cs="Times New Roman"/>
                <w:sz w:val="24"/>
                <w:szCs w:val="24"/>
              </w:rPr>
              <w:t>trades</w:t>
            </w:r>
            <w:proofErr w:type="spellEnd"/>
            <w:r w:rsidRPr="00CC3507">
              <w:rPr>
                <w:rFonts w:ascii="Times New Roman" w:hAnsi="Times New Roman" w:cs="Times New Roman"/>
                <w:sz w:val="24"/>
                <w:szCs w:val="24"/>
              </w:rPr>
              <w:t xml:space="preserve"> SLV_TODTOM</w:t>
            </w:r>
          </w:p>
        </w:tc>
        <w:tc>
          <w:tcPr>
            <w:tcW w:w="2268" w:type="dxa"/>
            <w:shd w:val="clear" w:color="auto" w:fill="auto"/>
          </w:tcPr>
          <w:p w:rsidR="00371CC9" w:rsidRPr="00CC3507" w:rsidRDefault="00371CC9" w:rsidP="00371CC9">
            <w:pPr>
              <w:spacing w:before="100" w:after="0"/>
              <w:jc w:val="center"/>
              <w:rPr>
                <w:rFonts w:ascii="Times New Roman" w:hAnsi="Times New Roman" w:cs="Times New Roman"/>
                <w:sz w:val="24"/>
                <w:szCs w:val="24"/>
              </w:rPr>
            </w:pPr>
            <w:r w:rsidRPr="00CC3507">
              <w:rPr>
                <w:rFonts w:ascii="Times New Roman" w:hAnsi="Times New Roman" w:cs="Times New Roman"/>
                <w:sz w:val="24"/>
                <w:szCs w:val="24"/>
              </w:rPr>
              <w:t>T / T+1</w:t>
            </w:r>
          </w:p>
        </w:tc>
      </w:tr>
      <w:tr w:rsidR="00371CC9" w:rsidRPr="00CC3507" w:rsidTr="00371CC9">
        <w:trPr>
          <w:cantSplit/>
        </w:trPr>
        <w:tc>
          <w:tcPr>
            <w:tcW w:w="851" w:type="dxa"/>
          </w:tcPr>
          <w:p w:rsidR="00371CC9" w:rsidRPr="00CC3507" w:rsidRDefault="00371CC9" w:rsidP="00371CC9">
            <w:pPr>
              <w:keepNext/>
              <w:widowControl w:val="0"/>
              <w:numPr>
                <w:ilvl w:val="1"/>
                <w:numId w:val="6"/>
              </w:numPr>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sz w:val="24"/>
                <w:szCs w:val="24"/>
                <w:lang w:eastAsia="ru-RU"/>
              </w:rPr>
            </w:pPr>
          </w:p>
        </w:tc>
        <w:tc>
          <w:tcPr>
            <w:tcW w:w="6521" w:type="dxa"/>
          </w:tcPr>
          <w:p w:rsidR="00371CC9" w:rsidRPr="00CC3507" w:rsidRDefault="00371CC9" w:rsidP="00371CC9">
            <w:pPr>
              <w:spacing w:after="0"/>
              <w:jc w:val="both"/>
              <w:rPr>
                <w:rFonts w:ascii="Times New Roman" w:hAnsi="Times New Roman" w:cs="Times New Roman"/>
                <w:sz w:val="24"/>
                <w:szCs w:val="24"/>
              </w:rPr>
            </w:pPr>
            <w:proofErr w:type="spellStart"/>
            <w:r w:rsidRPr="00CC3507">
              <w:rPr>
                <w:rFonts w:ascii="Times New Roman" w:hAnsi="Times New Roman" w:cs="Times New Roman"/>
                <w:sz w:val="24"/>
                <w:szCs w:val="24"/>
              </w:rPr>
              <w:t>Swap</w:t>
            </w:r>
            <w:proofErr w:type="spellEnd"/>
            <w:r w:rsidRPr="00CC3507">
              <w:rPr>
                <w:rFonts w:ascii="Times New Roman" w:hAnsi="Times New Roman" w:cs="Times New Roman"/>
                <w:sz w:val="24"/>
                <w:szCs w:val="24"/>
              </w:rPr>
              <w:t xml:space="preserve"> </w:t>
            </w:r>
            <w:proofErr w:type="spellStart"/>
            <w:r w:rsidRPr="00CC3507">
              <w:rPr>
                <w:rFonts w:ascii="Times New Roman" w:hAnsi="Times New Roman" w:cs="Times New Roman"/>
                <w:sz w:val="24"/>
                <w:szCs w:val="24"/>
              </w:rPr>
              <w:t>trades</w:t>
            </w:r>
            <w:proofErr w:type="spellEnd"/>
            <w:r w:rsidRPr="00CC3507">
              <w:rPr>
                <w:rFonts w:ascii="Times New Roman" w:hAnsi="Times New Roman" w:cs="Times New Roman"/>
                <w:sz w:val="24"/>
                <w:szCs w:val="24"/>
              </w:rPr>
              <w:t xml:space="preserve"> SLV_TOMSPT</w:t>
            </w:r>
          </w:p>
        </w:tc>
        <w:tc>
          <w:tcPr>
            <w:tcW w:w="2268" w:type="dxa"/>
            <w:shd w:val="clear" w:color="auto" w:fill="auto"/>
          </w:tcPr>
          <w:p w:rsidR="00371CC9" w:rsidRPr="00CC3507" w:rsidRDefault="00371CC9" w:rsidP="00371CC9">
            <w:pPr>
              <w:spacing w:before="100" w:after="0"/>
              <w:jc w:val="center"/>
              <w:rPr>
                <w:rFonts w:ascii="Times New Roman" w:hAnsi="Times New Roman" w:cs="Times New Roman"/>
                <w:sz w:val="24"/>
                <w:szCs w:val="24"/>
              </w:rPr>
            </w:pPr>
            <w:r w:rsidRPr="00CC3507">
              <w:rPr>
                <w:rFonts w:ascii="Times New Roman" w:hAnsi="Times New Roman" w:cs="Times New Roman"/>
                <w:sz w:val="24"/>
                <w:szCs w:val="24"/>
              </w:rPr>
              <w:t>T+1 / T+2</w:t>
            </w:r>
          </w:p>
        </w:tc>
      </w:tr>
      <w:tr w:rsidR="00371CC9" w:rsidRPr="00CC3507" w:rsidTr="00371CC9">
        <w:trPr>
          <w:cantSplit/>
        </w:trPr>
        <w:tc>
          <w:tcPr>
            <w:tcW w:w="851" w:type="dxa"/>
          </w:tcPr>
          <w:p w:rsidR="00371CC9" w:rsidRPr="00CC3507" w:rsidRDefault="00371CC9" w:rsidP="00371CC9">
            <w:pPr>
              <w:keepNext/>
              <w:widowControl w:val="0"/>
              <w:numPr>
                <w:ilvl w:val="1"/>
                <w:numId w:val="6"/>
              </w:numPr>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sz w:val="24"/>
                <w:szCs w:val="24"/>
                <w:lang w:eastAsia="ru-RU"/>
              </w:rPr>
            </w:pPr>
          </w:p>
        </w:tc>
        <w:tc>
          <w:tcPr>
            <w:tcW w:w="6521" w:type="dxa"/>
          </w:tcPr>
          <w:p w:rsidR="00371CC9" w:rsidRPr="00CC3507" w:rsidRDefault="00371CC9" w:rsidP="00371CC9">
            <w:pPr>
              <w:spacing w:after="0"/>
              <w:jc w:val="both"/>
              <w:rPr>
                <w:rFonts w:ascii="Times New Roman" w:hAnsi="Times New Roman" w:cs="Times New Roman"/>
                <w:sz w:val="24"/>
                <w:szCs w:val="24"/>
              </w:rPr>
            </w:pPr>
            <w:proofErr w:type="spellStart"/>
            <w:r w:rsidRPr="00CC3507">
              <w:rPr>
                <w:rFonts w:ascii="Times New Roman" w:hAnsi="Times New Roman" w:cs="Times New Roman"/>
                <w:sz w:val="24"/>
                <w:szCs w:val="24"/>
              </w:rPr>
              <w:t>Swap</w:t>
            </w:r>
            <w:proofErr w:type="spellEnd"/>
            <w:r w:rsidRPr="00CC3507">
              <w:rPr>
                <w:rFonts w:ascii="Times New Roman" w:hAnsi="Times New Roman" w:cs="Times New Roman"/>
                <w:sz w:val="24"/>
                <w:szCs w:val="24"/>
              </w:rPr>
              <w:t xml:space="preserve"> </w:t>
            </w:r>
            <w:proofErr w:type="spellStart"/>
            <w:r w:rsidRPr="00CC3507">
              <w:rPr>
                <w:rFonts w:ascii="Times New Roman" w:hAnsi="Times New Roman" w:cs="Times New Roman"/>
                <w:sz w:val="24"/>
                <w:szCs w:val="24"/>
              </w:rPr>
              <w:t>trades</w:t>
            </w:r>
            <w:proofErr w:type="spellEnd"/>
            <w:r w:rsidRPr="00CC3507">
              <w:rPr>
                <w:rFonts w:ascii="Times New Roman" w:hAnsi="Times New Roman" w:cs="Times New Roman"/>
                <w:sz w:val="24"/>
                <w:szCs w:val="24"/>
              </w:rPr>
              <w:t xml:space="preserve"> SLV_TOM1W</w:t>
            </w:r>
          </w:p>
        </w:tc>
        <w:tc>
          <w:tcPr>
            <w:tcW w:w="2268" w:type="dxa"/>
            <w:shd w:val="clear" w:color="auto" w:fill="auto"/>
          </w:tcPr>
          <w:p w:rsidR="00371CC9" w:rsidRPr="00CC3507" w:rsidRDefault="00371CC9" w:rsidP="00371CC9">
            <w:pPr>
              <w:spacing w:before="100" w:after="0"/>
              <w:jc w:val="center"/>
              <w:rPr>
                <w:rFonts w:ascii="Times New Roman" w:hAnsi="Times New Roman" w:cs="Times New Roman"/>
                <w:sz w:val="24"/>
                <w:szCs w:val="24"/>
              </w:rPr>
            </w:pPr>
            <w:r w:rsidRPr="00CC3507">
              <w:rPr>
                <w:rFonts w:ascii="Times New Roman" w:hAnsi="Times New Roman" w:cs="Times New Roman"/>
                <w:sz w:val="24"/>
                <w:szCs w:val="24"/>
              </w:rPr>
              <w:t>T+1 / T+8</w:t>
            </w:r>
          </w:p>
        </w:tc>
      </w:tr>
      <w:tr w:rsidR="00371CC9" w:rsidRPr="00CC3507" w:rsidTr="00371CC9">
        <w:trPr>
          <w:cantSplit/>
        </w:trPr>
        <w:tc>
          <w:tcPr>
            <w:tcW w:w="851" w:type="dxa"/>
          </w:tcPr>
          <w:p w:rsidR="00371CC9" w:rsidRPr="00CC3507" w:rsidRDefault="00371CC9" w:rsidP="00371CC9">
            <w:pPr>
              <w:keepNext/>
              <w:widowControl w:val="0"/>
              <w:numPr>
                <w:ilvl w:val="1"/>
                <w:numId w:val="6"/>
              </w:numPr>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sz w:val="24"/>
                <w:szCs w:val="24"/>
                <w:lang w:eastAsia="ru-RU"/>
              </w:rPr>
            </w:pPr>
          </w:p>
        </w:tc>
        <w:tc>
          <w:tcPr>
            <w:tcW w:w="6521" w:type="dxa"/>
          </w:tcPr>
          <w:p w:rsidR="00371CC9" w:rsidRPr="00CC3507" w:rsidRDefault="00371CC9" w:rsidP="00371CC9">
            <w:pPr>
              <w:spacing w:after="0"/>
              <w:jc w:val="both"/>
              <w:rPr>
                <w:rFonts w:ascii="Times New Roman" w:hAnsi="Times New Roman" w:cs="Times New Roman"/>
                <w:sz w:val="24"/>
                <w:szCs w:val="24"/>
              </w:rPr>
            </w:pPr>
            <w:proofErr w:type="spellStart"/>
            <w:r w:rsidRPr="00CC3507">
              <w:rPr>
                <w:rFonts w:ascii="Times New Roman" w:hAnsi="Times New Roman" w:cs="Times New Roman"/>
                <w:sz w:val="24"/>
                <w:szCs w:val="24"/>
              </w:rPr>
              <w:t>Swap</w:t>
            </w:r>
            <w:proofErr w:type="spellEnd"/>
            <w:r w:rsidRPr="00CC3507">
              <w:rPr>
                <w:rFonts w:ascii="Times New Roman" w:hAnsi="Times New Roman" w:cs="Times New Roman"/>
                <w:sz w:val="24"/>
                <w:szCs w:val="24"/>
              </w:rPr>
              <w:t xml:space="preserve"> </w:t>
            </w:r>
            <w:proofErr w:type="spellStart"/>
            <w:r w:rsidRPr="00CC3507">
              <w:rPr>
                <w:rFonts w:ascii="Times New Roman" w:hAnsi="Times New Roman" w:cs="Times New Roman"/>
                <w:sz w:val="24"/>
                <w:szCs w:val="24"/>
              </w:rPr>
              <w:t>trades</w:t>
            </w:r>
            <w:proofErr w:type="spellEnd"/>
            <w:r w:rsidRPr="00CC3507">
              <w:rPr>
                <w:rFonts w:ascii="Times New Roman" w:hAnsi="Times New Roman" w:cs="Times New Roman"/>
                <w:sz w:val="24"/>
                <w:szCs w:val="24"/>
              </w:rPr>
              <w:t xml:space="preserve"> SLV_TOM1M</w:t>
            </w:r>
          </w:p>
        </w:tc>
        <w:tc>
          <w:tcPr>
            <w:tcW w:w="2268" w:type="dxa"/>
            <w:shd w:val="clear" w:color="auto" w:fill="auto"/>
          </w:tcPr>
          <w:p w:rsidR="00371CC9" w:rsidRPr="00CC3507" w:rsidRDefault="00371CC9" w:rsidP="00371CC9">
            <w:pPr>
              <w:spacing w:before="100" w:after="0"/>
              <w:jc w:val="center"/>
              <w:rPr>
                <w:rFonts w:ascii="Times New Roman" w:hAnsi="Times New Roman" w:cs="Times New Roman"/>
                <w:sz w:val="24"/>
                <w:szCs w:val="24"/>
              </w:rPr>
            </w:pPr>
            <w:r w:rsidRPr="00CC3507">
              <w:rPr>
                <w:rFonts w:ascii="Times New Roman" w:hAnsi="Times New Roman" w:cs="Times New Roman"/>
                <w:sz w:val="24"/>
                <w:szCs w:val="24"/>
              </w:rPr>
              <w:t xml:space="preserve">T+1 / T+1 </w:t>
            </w:r>
            <w:proofErr w:type="spellStart"/>
            <w:r w:rsidRPr="00CC3507">
              <w:rPr>
                <w:rFonts w:ascii="Times New Roman" w:hAnsi="Times New Roman" w:cs="Times New Roman"/>
                <w:sz w:val="24"/>
                <w:szCs w:val="24"/>
              </w:rPr>
              <w:t>month</w:t>
            </w:r>
            <w:proofErr w:type="spellEnd"/>
          </w:p>
        </w:tc>
      </w:tr>
      <w:tr w:rsidR="00371CC9" w:rsidRPr="00CC3507" w:rsidTr="00371CC9">
        <w:trPr>
          <w:cantSplit/>
        </w:trPr>
        <w:tc>
          <w:tcPr>
            <w:tcW w:w="851" w:type="dxa"/>
          </w:tcPr>
          <w:p w:rsidR="00371CC9" w:rsidRPr="00CC3507" w:rsidRDefault="00371CC9" w:rsidP="00371CC9">
            <w:pPr>
              <w:keepNext/>
              <w:widowControl w:val="0"/>
              <w:numPr>
                <w:ilvl w:val="1"/>
                <w:numId w:val="6"/>
              </w:numPr>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sz w:val="24"/>
                <w:szCs w:val="24"/>
                <w:lang w:eastAsia="ru-RU"/>
              </w:rPr>
            </w:pPr>
          </w:p>
        </w:tc>
        <w:tc>
          <w:tcPr>
            <w:tcW w:w="6521" w:type="dxa"/>
          </w:tcPr>
          <w:p w:rsidR="00371CC9" w:rsidRPr="00CC3507" w:rsidRDefault="00371CC9" w:rsidP="00371CC9">
            <w:pPr>
              <w:spacing w:after="0"/>
              <w:jc w:val="both"/>
              <w:rPr>
                <w:rFonts w:ascii="Times New Roman" w:hAnsi="Times New Roman" w:cs="Times New Roman"/>
                <w:sz w:val="24"/>
                <w:szCs w:val="24"/>
              </w:rPr>
            </w:pPr>
            <w:proofErr w:type="spellStart"/>
            <w:r w:rsidRPr="00CC3507">
              <w:rPr>
                <w:rFonts w:ascii="Times New Roman" w:hAnsi="Times New Roman" w:cs="Times New Roman"/>
                <w:sz w:val="24"/>
                <w:szCs w:val="24"/>
              </w:rPr>
              <w:t>Swap</w:t>
            </w:r>
            <w:proofErr w:type="spellEnd"/>
            <w:r w:rsidRPr="00CC3507">
              <w:rPr>
                <w:rFonts w:ascii="Times New Roman" w:hAnsi="Times New Roman" w:cs="Times New Roman"/>
                <w:sz w:val="24"/>
                <w:szCs w:val="24"/>
              </w:rPr>
              <w:t xml:space="preserve"> </w:t>
            </w:r>
            <w:proofErr w:type="spellStart"/>
            <w:r w:rsidRPr="00CC3507">
              <w:rPr>
                <w:rFonts w:ascii="Times New Roman" w:hAnsi="Times New Roman" w:cs="Times New Roman"/>
                <w:sz w:val="24"/>
                <w:szCs w:val="24"/>
              </w:rPr>
              <w:t>trades</w:t>
            </w:r>
            <w:proofErr w:type="spellEnd"/>
            <w:r w:rsidRPr="00CC3507">
              <w:rPr>
                <w:rFonts w:ascii="Times New Roman" w:hAnsi="Times New Roman" w:cs="Times New Roman"/>
                <w:sz w:val="24"/>
                <w:szCs w:val="24"/>
              </w:rPr>
              <w:t xml:space="preserve"> SLV_TOM6M</w:t>
            </w:r>
          </w:p>
        </w:tc>
        <w:tc>
          <w:tcPr>
            <w:tcW w:w="2268" w:type="dxa"/>
            <w:shd w:val="clear" w:color="auto" w:fill="auto"/>
          </w:tcPr>
          <w:p w:rsidR="00371CC9" w:rsidRPr="00CC3507" w:rsidRDefault="00371CC9" w:rsidP="00371CC9">
            <w:pPr>
              <w:spacing w:before="100" w:after="0"/>
              <w:jc w:val="center"/>
              <w:rPr>
                <w:rFonts w:ascii="Times New Roman" w:hAnsi="Times New Roman" w:cs="Times New Roman"/>
                <w:sz w:val="24"/>
                <w:szCs w:val="24"/>
              </w:rPr>
            </w:pPr>
            <w:r w:rsidRPr="00CC3507">
              <w:rPr>
                <w:rFonts w:ascii="Times New Roman" w:hAnsi="Times New Roman" w:cs="Times New Roman"/>
                <w:sz w:val="24"/>
                <w:szCs w:val="24"/>
              </w:rPr>
              <w:t xml:space="preserve">T+1 / T+6 </w:t>
            </w:r>
            <w:proofErr w:type="spellStart"/>
            <w:r w:rsidRPr="00CC3507">
              <w:rPr>
                <w:rFonts w:ascii="Times New Roman" w:hAnsi="Times New Roman" w:cs="Times New Roman"/>
                <w:sz w:val="24"/>
                <w:szCs w:val="24"/>
              </w:rPr>
              <w:t>months</w:t>
            </w:r>
            <w:proofErr w:type="spellEnd"/>
          </w:p>
        </w:tc>
      </w:tr>
    </w:tbl>
    <w:p w:rsidR="00371CC9" w:rsidRPr="00CC3507" w:rsidRDefault="00371CC9" w:rsidP="00371CC9">
      <w:pPr>
        <w:spacing w:after="0"/>
        <w:jc w:val="both"/>
        <w:rPr>
          <w:rFonts w:ascii="Times New Roman" w:hAnsi="Times New Roman" w:cs="Times New Roman"/>
          <w:sz w:val="24"/>
          <w:szCs w:val="24"/>
        </w:rPr>
      </w:pPr>
    </w:p>
    <w:p w:rsidR="00371CC9" w:rsidRPr="00CC3507" w:rsidRDefault="00371CC9" w:rsidP="00371CC9">
      <w:pPr>
        <w:spacing w:after="120" w:line="240" w:lineRule="auto"/>
        <w:ind w:firstLine="567"/>
        <w:jc w:val="both"/>
        <w:rPr>
          <w:rFonts w:ascii="Times New Roman" w:hAnsi="Times New Roman" w:cs="Times New Roman"/>
          <w:bCs/>
          <w:sz w:val="24"/>
          <w:szCs w:val="24"/>
          <w:lang w:val="en-US" w:eastAsia="ru-RU"/>
        </w:rPr>
      </w:pPr>
      <w:r w:rsidRPr="00CC3507">
        <w:rPr>
          <w:rFonts w:ascii="Times New Roman" w:hAnsi="Times New Roman" w:cs="Times New Roman"/>
          <w:sz w:val="24"/>
          <w:szCs w:val="24"/>
          <w:lang w:val="en-US"/>
        </w:rPr>
        <w:t>In 2013, NCC realized several important projects aimed at improving the efficiency and reliability of clearing services on the FX market and the market of precious metals:</w:t>
      </w:r>
    </w:p>
    <w:p w:rsidR="00371CC9" w:rsidRPr="00CC3507" w:rsidRDefault="00371CC9" w:rsidP="00371CC9">
      <w:pPr>
        <w:spacing w:after="120" w:line="240" w:lineRule="auto"/>
        <w:ind w:firstLine="567"/>
        <w:jc w:val="both"/>
        <w:rPr>
          <w:rFonts w:ascii="Times New Roman" w:hAnsi="Times New Roman" w:cs="Times New Roman"/>
          <w:bCs/>
          <w:sz w:val="24"/>
          <w:szCs w:val="24"/>
          <w:lang w:val="en-US" w:eastAsia="ru-RU"/>
        </w:rPr>
      </w:pPr>
    </w:p>
    <w:p w:rsidR="00371CC9" w:rsidRPr="00CC3507" w:rsidRDefault="00371CC9" w:rsidP="00371CC9">
      <w:pPr>
        <w:spacing w:after="120" w:line="240" w:lineRule="auto"/>
        <w:ind w:firstLine="567"/>
        <w:jc w:val="both"/>
        <w:rPr>
          <w:rFonts w:ascii="Times New Roman" w:hAnsi="Times New Roman" w:cs="Times New Roman"/>
          <w:b/>
          <w:bCs/>
          <w:sz w:val="24"/>
          <w:szCs w:val="24"/>
          <w:lang w:val="en-US" w:eastAsia="ru-RU"/>
        </w:rPr>
      </w:pPr>
      <w:r w:rsidRPr="00CC3507">
        <w:rPr>
          <w:rFonts w:ascii="Times New Roman" w:hAnsi="Times New Roman" w:cs="Times New Roman"/>
          <w:b/>
          <w:bCs/>
          <w:sz w:val="24"/>
          <w:szCs w:val="24"/>
          <w:lang w:val="en-US" w:eastAsia="ru-RU"/>
        </w:rPr>
        <w:t xml:space="preserve">1. The launch of centralized clearing on the trades with precious metals for Russian </w:t>
      </w:r>
      <w:proofErr w:type="spellStart"/>
      <w:r w:rsidRPr="00CC3507">
        <w:rPr>
          <w:rFonts w:ascii="Times New Roman" w:hAnsi="Times New Roman" w:cs="Times New Roman"/>
          <w:b/>
          <w:bCs/>
          <w:sz w:val="24"/>
          <w:szCs w:val="24"/>
          <w:lang w:val="en-US" w:eastAsia="ru-RU"/>
        </w:rPr>
        <w:t>roubles</w:t>
      </w:r>
      <w:proofErr w:type="spellEnd"/>
      <w:r w:rsidRPr="00CC3507">
        <w:rPr>
          <w:rFonts w:ascii="Times New Roman" w:hAnsi="Times New Roman" w:cs="Times New Roman"/>
          <w:b/>
          <w:bCs/>
          <w:sz w:val="24"/>
          <w:szCs w:val="24"/>
          <w:lang w:val="en-US" w:eastAsia="ru-RU"/>
        </w:rPr>
        <w:t xml:space="preserve"> </w:t>
      </w:r>
      <w:r>
        <w:rPr>
          <w:rFonts w:ascii="Times New Roman" w:hAnsi="Times New Roman" w:cs="Times New Roman"/>
          <w:b/>
          <w:bCs/>
          <w:sz w:val="24"/>
          <w:szCs w:val="24"/>
          <w:lang w:val="en-US" w:eastAsia="ru-RU"/>
        </w:rPr>
        <w:t xml:space="preserve">on </w:t>
      </w:r>
      <w:proofErr w:type="gramStart"/>
      <w:r>
        <w:rPr>
          <w:rFonts w:ascii="Times New Roman" w:hAnsi="Times New Roman" w:cs="Times New Roman"/>
          <w:b/>
          <w:bCs/>
          <w:sz w:val="24"/>
          <w:szCs w:val="24"/>
          <w:lang w:val="en-US" w:eastAsia="ru-RU"/>
        </w:rPr>
        <w:t xml:space="preserve">the </w:t>
      </w:r>
      <w:r w:rsidRPr="00CC3507">
        <w:rPr>
          <w:rFonts w:ascii="Times New Roman" w:hAnsi="Times New Roman" w:cs="Times New Roman"/>
          <w:b/>
          <w:bCs/>
          <w:sz w:val="24"/>
          <w:szCs w:val="24"/>
          <w:lang w:val="en-US" w:eastAsia="ru-RU"/>
        </w:rPr>
        <w:t xml:space="preserve"> FX</w:t>
      </w:r>
      <w:proofErr w:type="gramEnd"/>
      <w:r w:rsidRPr="00CC3507">
        <w:rPr>
          <w:rFonts w:ascii="Times New Roman" w:hAnsi="Times New Roman" w:cs="Times New Roman"/>
          <w:b/>
          <w:bCs/>
          <w:sz w:val="24"/>
          <w:szCs w:val="24"/>
          <w:lang w:val="en-US" w:eastAsia="ru-RU"/>
        </w:rPr>
        <w:t xml:space="preserve">  and   precious metals </w:t>
      </w:r>
      <w:r>
        <w:rPr>
          <w:rFonts w:ascii="Times New Roman" w:hAnsi="Times New Roman" w:cs="Times New Roman"/>
          <w:b/>
          <w:bCs/>
          <w:sz w:val="24"/>
          <w:szCs w:val="24"/>
          <w:lang w:val="en-US" w:eastAsia="ru-RU"/>
        </w:rPr>
        <w:t xml:space="preserve">market </w:t>
      </w:r>
      <w:r w:rsidRPr="00CC3507">
        <w:rPr>
          <w:rFonts w:ascii="Times New Roman" w:hAnsi="Times New Roman" w:cs="Times New Roman"/>
          <w:b/>
          <w:bCs/>
          <w:sz w:val="24"/>
          <w:szCs w:val="24"/>
          <w:lang w:val="en-US" w:eastAsia="ru-RU"/>
        </w:rPr>
        <w:t xml:space="preserve">of the Group. </w:t>
      </w:r>
    </w:p>
    <w:p w:rsidR="00371CC9" w:rsidRPr="00CC3507" w:rsidRDefault="00371CC9" w:rsidP="00371CC9">
      <w:pPr>
        <w:spacing w:after="120" w:line="240" w:lineRule="auto"/>
        <w:ind w:firstLine="567"/>
        <w:jc w:val="both"/>
        <w:rPr>
          <w:rFonts w:ascii="Times New Roman" w:hAnsi="Times New Roman" w:cs="Times New Roman"/>
          <w:b/>
          <w:bCs/>
          <w:sz w:val="24"/>
          <w:szCs w:val="24"/>
          <w:lang w:val="en-US" w:eastAsia="ru-RU"/>
        </w:rPr>
      </w:pPr>
    </w:p>
    <w:p w:rsidR="00371CC9" w:rsidRPr="00CC3507" w:rsidRDefault="00371CC9" w:rsidP="00371CC9">
      <w:pPr>
        <w:spacing w:after="120" w:line="240" w:lineRule="auto"/>
        <w:ind w:firstLine="567"/>
        <w:jc w:val="both"/>
        <w:rPr>
          <w:rFonts w:ascii="Times New Roman" w:hAnsi="Times New Roman" w:cs="Times New Roman"/>
          <w:bCs/>
          <w:sz w:val="24"/>
          <w:szCs w:val="24"/>
          <w:lang w:val="en-US" w:eastAsia="ru-RU"/>
        </w:rPr>
      </w:pPr>
      <w:r w:rsidRPr="00CC3507">
        <w:rPr>
          <w:rFonts w:ascii="Times New Roman" w:hAnsi="Times New Roman" w:cs="Times New Roman"/>
          <w:bCs/>
          <w:sz w:val="24"/>
          <w:szCs w:val="24"/>
          <w:lang w:val="en-US" w:eastAsia="ru-RU"/>
        </w:rPr>
        <w:t xml:space="preserve">This project was realized on the </w:t>
      </w:r>
      <w:r>
        <w:rPr>
          <w:rFonts w:ascii="Times New Roman" w:hAnsi="Times New Roman" w:cs="Times New Roman"/>
          <w:bCs/>
          <w:sz w:val="24"/>
          <w:szCs w:val="24"/>
          <w:lang w:val="en-US" w:eastAsia="ru-RU"/>
        </w:rPr>
        <w:t>regulatory</w:t>
      </w:r>
      <w:r w:rsidRPr="00CC3507">
        <w:rPr>
          <w:rFonts w:ascii="Times New Roman" w:hAnsi="Times New Roman" w:cs="Times New Roman"/>
          <w:bCs/>
          <w:sz w:val="24"/>
          <w:szCs w:val="24"/>
          <w:lang w:val="en-US" w:eastAsia="ru-RU"/>
        </w:rPr>
        <w:t xml:space="preserve">-technological basis of the FX market for the following purposes: </w:t>
      </w:r>
    </w:p>
    <w:p w:rsidR="00371CC9" w:rsidRPr="00CC3507" w:rsidRDefault="005F7F19" w:rsidP="00371CC9">
      <w:pPr>
        <w:numPr>
          <w:ilvl w:val="0"/>
          <w:numId w:val="2"/>
        </w:numPr>
        <w:spacing w:after="120" w:line="240" w:lineRule="auto"/>
        <w:ind w:left="1134" w:hanging="42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to</w:t>
      </w:r>
      <w:r w:rsidR="00371CC9" w:rsidRPr="00CC3507">
        <w:rPr>
          <w:rFonts w:ascii="Times New Roman" w:hAnsi="Times New Roman" w:cs="Times New Roman"/>
          <w:sz w:val="24"/>
          <w:szCs w:val="24"/>
          <w:lang w:val="en-US"/>
        </w:rPr>
        <w:t xml:space="preserve"> increase the number of products, offered to the market participants by the Moscow Exchange Group;</w:t>
      </w:r>
    </w:p>
    <w:p w:rsidR="00371CC9" w:rsidRPr="00CC3507" w:rsidRDefault="005F7F19" w:rsidP="00371CC9">
      <w:pPr>
        <w:numPr>
          <w:ilvl w:val="0"/>
          <w:numId w:val="2"/>
        </w:numPr>
        <w:spacing w:after="120" w:line="240" w:lineRule="auto"/>
        <w:ind w:left="1134" w:hanging="42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to</w:t>
      </w:r>
      <w:r w:rsidR="00371CC9" w:rsidRPr="00CC3507">
        <w:rPr>
          <w:rFonts w:ascii="Times New Roman" w:hAnsi="Times New Roman" w:cs="Times New Roman"/>
          <w:sz w:val="24"/>
          <w:szCs w:val="24"/>
          <w:lang w:val="en-US"/>
        </w:rPr>
        <w:t xml:space="preserve"> organiz</w:t>
      </w:r>
      <w:r>
        <w:rPr>
          <w:rFonts w:ascii="Times New Roman" w:hAnsi="Times New Roman" w:cs="Times New Roman"/>
          <w:sz w:val="24"/>
          <w:szCs w:val="24"/>
          <w:lang w:val="en-US"/>
        </w:rPr>
        <w:t>e</w:t>
      </w:r>
      <w:r w:rsidR="00371CC9" w:rsidRPr="00CC3507">
        <w:rPr>
          <w:rFonts w:ascii="Times New Roman" w:hAnsi="Times New Roman" w:cs="Times New Roman"/>
          <w:sz w:val="24"/>
          <w:szCs w:val="24"/>
          <w:lang w:val="en-US"/>
        </w:rPr>
        <w:t xml:space="preserve"> </w:t>
      </w:r>
      <w:r w:rsidR="00371CC9">
        <w:rPr>
          <w:rFonts w:ascii="Times New Roman" w:hAnsi="Times New Roman" w:cs="Times New Roman"/>
          <w:sz w:val="24"/>
          <w:szCs w:val="24"/>
          <w:lang w:val="en-US"/>
        </w:rPr>
        <w:t xml:space="preserve">a </w:t>
      </w:r>
      <w:r w:rsidR="00371CC9" w:rsidRPr="00CC3507">
        <w:rPr>
          <w:rFonts w:ascii="Times New Roman" w:hAnsi="Times New Roman" w:cs="Times New Roman"/>
          <w:sz w:val="24"/>
          <w:szCs w:val="24"/>
          <w:lang w:val="en-US"/>
        </w:rPr>
        <w:t>new segment of exchange market</w:t>
      </w:r>
      <w:r w:rsidR="00371CC9" w:rsidRPr="00D20A6C">
        <w:rPr>
          <w:rFonts w:ascii="Times New Roman" w:hAnsi="Times New Roman" w:cs="Times New Roman"/>
          <w:sz w:val="24"/>
          <w:szCs w:val="24"/>
          <w:lang w:val="en-US"/>
        </w:rPr>
        <w:t xml:space="preserve"> </w:t>
      </w:r>
      <w:r w:rsidR="00371CC9" w:rsidRPr="00CC3507">
        <w:rPr>
          <w:rFonts w:ascii="Times New Roman" w:hAnsi="Times New Roman" w:cs="Times New Roman"/>
          <w:sz w:val="24"/>
          <w:szCs w:val="24"/>
          <w:lang w:val="en-US"/>
        </w:rPr>
        <w:t xml:space="preserve">for participants —the market of precious metals, which </w:t>
      </w:r>
      <w:r w:rsidR="00371CC9" w:rsidRPr="00D9530A">
        <w:rPr>
          <w:rFonts w:ascii="Times New Roman" w:hAnsi="Times New Roman" w:cs="Times New Roman"/>
          <w:sz w:val="24"/>
          <w:szCs w:val="24"/>
          <w:lang w:val="en-US"/>
        </w:rPr>
        <w:t>has</w:t>
      </w:r>
      <w:r w:rsidR="00371CC9" w:rsidRPr="00CC3507">
        <w:rPr>
          <w:rFonts w:ascii="Times New Roman" w:hAnsi="Times New Roman" w:cs="Times New Roman"/>
          <w:sz w:val="24"/>
          <w:szCs w:val="24"/>
          <w:lang w:val="en-US"/>
        </w:rPr>
        <w:t xml:space="preserve"> the potential </w:t>
      </w:r>
      <w:r w:rsidR="00371CC9">
        <w:rPr>
          <w:rFonts w:ascii="Times New Roman" w:hAnsi="Times New Roman" w:cs="Times New Roman"/>
          <w:sz w:val="24"/>
          <w:szCs w:val="24"/>
          <w:lang w:val="en-US"/>
        </w:rPr>
        <w:t>to</w:t>
      </w:r>
      <w:r w:rsidR="00371CC9" w:rsidRPr="00CC3507">
        <w:rPr>
          <w:rFonts w:ascii="Times New Roman" w:hAnsi="Times New Roman" w:cs="Times New Roman"/>
          <w:sz w:val="24"/>
          <w:szCs w:val="24"/>
          <w:lang w:val="en-US"/>
        </w:rPr>
        <w:t xml:space="preserve"> becom</w:t>
      </w:r>
      <w:r w:rsidR="00371CC9">
        <w:rPr>
          <w:rFonts w:ascii="Times New Roman" w:hAnsi="Times New Roman" w:cs="Times New Roman"/>
          <w:sz w:val="24"/>
          <w:szCs w:val="24"/>
          <w:lang w:val="en-US"/>
        </w:rPr>
        <w:t>e</w:t>
      </w:r>
      <w:r w:rsidR="00D9530A">
        <w:rPr>
          <w:rFonts w:ascii="Times New Roman" w:hAnsi="Times New Roman" w:cs="Times New Roman"/>
          <w:sz w:val="24"/>
          <w:szCs w:val="24"/>
          <w:lang w:val="en-US"/>
        </w:rPr>
        <w:t xml:space="preserve"> </w:t>
      </w:r>
      <w:r w:rsidR="00371CC9">
        <w:rPr>
          <w:rFonts w:ascii="Times New Roman" w:hAnsi="Times New Roman" w:cs="Times New Roman"/>
          <w:sz w:val="24"/>
          <w:szCs w:val="24"/>
          <w:lang w:val="en-US"/>
        </w:rPr>
        <w:t>the</w:t>
      </w:r>
      <w:r w:rsidR="00371CC9" w:rsidRPr="00CC3507">
        <w:rPr>
          <w:rFonts w:ascii="Times New Roman" w:hAnsi="Times New Roman" w:cs="Times New Roman"/>
          <w:sz w:val="24"/>
          <w:szCs w:val="24"/>
          <w:lang w:val="en-US"/>
        </w:rPr>
        <w:t xml:space="preserve"> market</w:t>
      </w:r>
      <w:r w:rsidR="00371CC9">
        <w:rPr>
          <w:rFonts w:ascii="Times New Roman" w:hAnsi="Times New Roman" w:cs="Times New Roman"/>
          <w:sz w:val="24"/>
          <w:szCs w:val="24"/>
          <w:lang w:val="en-US"/>
        </w:rPr>
        <w:t xml:space="preserve"> of</w:t>
      </w:r>
      <w:r w:rsidR="00371CC9" w:rsidRPr="00D20A6C">
        <w:rPr>
          <w:rFonts w:ascii="Times New Roman" w:hAnsi="Times New Roman" w:cs="Times New Roman"/>
          <w:sz w:val="24"/>
          <w:szCs w:val="24"/>
          <w:lang w:val="en-US"/>
        </w:rPr>
        <w:t xml:space="preserve"> </w:t>
      </w:r>
      <w:r w:rsidR="00371CC9" w:rsidRPr="00CC3507">
        <w:rPr>
          <w:rFonts w:ascii="Times New Roman" w:hAnsi="Times New Roman" w:cs="Times New Roman"/>
          <w:sz w:val="24"/>
          <w:szCs w:val="24"/>
          <w:lang w:val="en-US"/>
        </w:rPr>
        <w:t>high</w:t>
      </w:r>
      <w:r w:rsidR="00371CC9">
        <w:rPr>
          <w:rFonts w:ascii="Times New Roman" w:hAnsi="Times New Roman" w:cs="Times New Roman"/>
          <w:sz w:val="24"/>
          <w:szCs w:val="24"/>
          <w:lang w:val="en-US"/>
        </w:rPr>
        <w:t xml:space="preserve"> </w:t>
      </w:r>
      <w:r w:rsidR="00371CC9" w:rsidRPr="00CC3507">
        <w:rPr>
          <w:rFonts w:ascii="Times New Roman" w:hAnsi="Times New Roman" w:cs="Times New Roman"/>
          <w:sz w:val="24"/>
          <w:szCs w:val="24"/>
          <w:lang w:val="en-US"/>
        </w:rPr>
        <w:t xml:space="preserve"> liquid</w:t>
      </w:r>
      <w:r w:rsidR="00371CC9">
        <w:rPr>
          <w:rFonts w:ascii="Times New Roman" w:hAnsi="Times New Roman" w:cs="Times New Roman"/>
          <w:sz w:val="24"/>
          <w:szCs w:val="24"/>
          <w:lang w:val="en-US"/>
        </w:rPr>
        <w:t xml:space="preserve">ity </w:t>
      </w:r>
      <w:r w:rsidR="00371CC9" w:rsidRPr="00CC3507">
        <w:rPr>
          <w:rFonts w:ascii="Times New Roman" w:hAnsi="Times New Roman" w:cs="Times New Roman"/>
          <w:sz w:val="24"/>
          <w:szCs w:val="24"/>
          <w:lang w:val="en-US"/>
        </w:rPr>
        <w:t xml:space="preserve">; </w:t>
      </w:r>
    </w:p>
    <w:p w:rsidR="00371CC9" w:rsidRPr="00CC3507" w:rsidRDefault="005F7F19" w:rsidP="00371CC9">
      <w:pPr>
        <w:numPr>
          <w:ilvl w:val="0"/>
          <w:numId w:val="2"/>
        </w:numPr>
        <w:spacing w:after="120" w:line="240" w:lineRule="auto"/>
        <w:ind w:left="1134" w:hanging="425"/>
        <w:contextualSpacing/>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to</w:t>
      </w:r>
      <w:proofErr w:type="gramEnd"/>
      <w:r w:rsidR="00371CC9" w:rsidRPr="00CC3507">
        <w:rPr>
          <w:rFonts w:ascii="Times New Roman" w:hAnsi="Times New Roman" w:cs="Times New Roman"/>
          <w:sz w:val="24"/>
          <w:szCs w:val="24"/>
          <w:lang w:val="en-US"/>
        </w:rPr>
        <w:t xml:space="preserve"> creat</w:t>
      </w:r>
      <w:r>
        <w:rPr>
          <w:rFonts w:ascii="Times New Roman" w:hAnsi="Times New Roman" w:cs="Times New Roman"/>
          <w:sz w:val="24"/>
          <w:szCs w:val="24"/>
          <w:lang w:val="en-US"/>
        </w:rPr>
        <w:t>e</w:t>
      </w:r>
      <w:r w:rsidR="00371CC9" w:rsidRPr="00CC3507">
        <w:rPr>
          <w:rFonts w:ascii="Times New Roman" w:hAnsi="Times New Roman" w:cs="Times New Roman"/>
          <w:sz w:val="24"/>
          <w:szCs w:val="24"/>
          <w:lang w:val="en-US"/>
        </w:rPr>
        <w:t xml:space="preserve"> on the Russian market a system of settlements in precious metals (Loco Moscow).</w:t>
      </w:r>
    </w:p>
    <w:p w:rsidR="00371CC9" w:rsidRPr="00CC3507" w:rsidRDefault="00371CC9" w:rsidP="00371CC9">
      <w:pPr>
        <w:spacing w:after="120" w:line="240" w:lineRule="auto"/>
        <w:ind w:firstLine="567"/>
        <w:jc w:val="both"/>
        <w:rPr>
          <w:rFonts w:ascii="Times New Roman" w:hAnsi="Times New Roman" w:cs="Times New Roman"/>
          <w:bCs/>
          <w:sz w:val="24"/>
          <w:szCs w:val="24"/>
          <w:lang w:val="en-US" w:eastAsia="ru-RU"/>
        </w:rPr>
      </w:pPr>
    </w:p>
    <w:p w:rsidR="00371CC9" w:rsidRPr="00CC3507" w:rsidRDefault="00371CC9" w:rsidP="00371CC9">
      <w:pPr>
        <w:spacing w:after="120" w:line="240" w:lineRule="auto"/>
        <w:ind w:left="284" w:firstLine="567"/>
        <w:jc w:val="both"/>
        <w:rPr>
          <w:rFonts w:ascii="Times New Roman" w:hAnsi="Times New Roman" w:cs="Times New Roman"/>
          <w:bCs/>
          <w:sz w:val="24"/>
          <w:szCs w:val="24"/>
          <w:lang w:val="en-US" w:eastAsia="ru-RU"/>
        </w:rPr>
      </w:pPr>
      <w:r w:rsidRPr="00CC3507">
        <w:rPr>
          <w:rFonts w:ascii="Times New Roman" w:hAnsi="Times New Roman" w:cs="Times New Roman"/>
          <w:bCs/>
          <w:sz w:val="24"/>
          <w:szCs w:val="24"/>
          <w:lang w:val="en-US" w:eastAsia="ru-RU"/>
        </w:rPr>
        <w:t xml:space="preserve">For the purposes </w:t>
      </w:r>
      <w:r w:rsidR="00277C5C">
        <w:rPr>
          <w:rFonts w:ascii="Times New Roman" w:hAnsi="Times New Roman" w:cs="Times New Roman"/>
          <w:bCs/>
          <w:sz w:val="24"/>
          <w:szCs w:val="24"/>
          <w:lang w:val="en-US" w:eastAsia="ru-RU"/>
        </w:rPr>
        <w:t>to</w:t>
      </w:r>
      <w:r w:rsidRPr="00CC3507">
        <w:rPr>
          <w:rFonts w:ascii="Times New Roman" w:hAnsi="Times New Roman" w:cs="Times New Roman"/>
          <w:bCs/>
          <w:sz w:val="24"/>
          <w:szCs w:val="24"/>
          <w:lang w:val="en-US" w:eastAsia="ru-RU"/>
        </w:rPr>
        <w:t xml:space="preserve"> provi</w:t>
      </w:r>
      <w:r>
        <w:rPr>
          <w:rFonts w:ascii="Times New Roman" w:hAnsi="Times New Roman" w:cs="Times New Roman"/>
          <w:bCs/>
          <w:sz w:val="24"/>
          <w:szCs w:val="24"/>
          <w:lang w:val="en-US" w:eastAsia="ru-RU"/>
        </w:rPr>
        <w:t>d</w:t>
      </w:r>
      <w:r w:rsidR="00277C5C">
        <w:rPr>
          <w:rFonts w:ascii="Times New Roman" w:hAnsi="Times New Roman" w:cs="Times New Roman"/>
          <w:bCs/>
          <w:sz w:val="24"/>
          <w:szCs w:val="24"/>
          <w:lang w:val="en-US" w:eastAsia="ru-RU"/>
        </w:rPr>
        <w:t>e</w:t>
      </w:r>
      <w:r w:rsidRPr="00CC3507">
        <w:rPr>
          <w:rFonts w:ascii="Times New Roman" w:hAnsi="Times New Roman" w:cs="Times New Roman"/>
          <w:bCs/>
          <w:sz w:val="24"/>
          <w:szCs w:val="24"/>
          <w:lang w:val="en-US" w:eastAsia="ru-RU"/>
        </w:rPr>
        <w:t xml:space="preserve"> </w:t>
      </w:r>
      <w:r>
        <w:rPr>
          <w:rFonts w:ascii="Times New Roman" w:hAnsi="Times New Roman" w:cs="Times New Roman"/>
          <w:bCs/>
          <w:sz w:val="24"/>
          <w:szCs w:val="24"/>
          <w:lang w:val="en-US" w:eastAsia="ru-RU"/>
        </w:rPr>
        <w:t>to</w:t>
      </w:r>
      <w:r w:rsidRPr="00CC3507">
        <w:rPr>
          <w:rFonts w:ascii="Times New Roman" w:hAnsi="Times New Roman" w:cs="Times New Roman"/>
          <w:bCs/>
          <w:sz w:val="24"/>
          <w:szCs w:val="24"/>
          <w:lang w:val="en-US" w:eastAsia="ru-RU"/>
        </w:rPr>
        <w:t xml:space="preserve"> the market participants convenient and qualitative clearing services on the FX and precious metals</w:t>
      </w:r>
      <w:r>
        <w:rPr>
          <w:rFonts w:ascii="Times New Roman" w:hAnsi="Times New Roman" w:cs="Times New Roman"/>
          <w:bCs/>
          <w:sz w:val="24"/>
          <w:szCs w:val="24"/>
          <w:lang w:val="en-US" w:eastAsia="ru-RU"/>
        </w:rPr>
        <w:t xml:space="preserve"> market</w:t>
      </w:r>
      <w:r w:rsidRPr="00CC3507">
        <w:rPr>
          <w:rFonts w:ascii="Times New Roman" w:hAnsi="Times New Roman" w:cs="Times New Roman"/>
          <w:bCs/>
          <w:sz w:val="24"/>
          <w:szCs w:val="24"/>
          <w:lang w:val="en-US" w:eastAsia="ru-RU"/>
        </w:rPr>
        <w:t>, the unified clearing and unified risk management were implemented:</w:t>
      </w:r>
    </w:p>
    <w:p w:rsidR="00371CC9" w:rsidRPr="00CC3507" w:rsidRDefault="00371CC9" w:rsidP="00371CC9">
      <w:pPr>
        <w:numPr>
          <w:ilvl w:val="0"/>
          <w:numId w:val="9"/>
        </w:numPr>
        <w:spacing w:after="120" w:line="240" w:lineRule="auto"/>
        <w:ind w:left="1134" w:hanging="425"/>
        <w:contextualSpacing/>
        <w:jc w:val="both"/>
        <w:rPr>
          <w:rFonts w:ascii="Times New Roman" w:hAnsi="Times New Roman" w:cs="Times New Roman"/>
          <w:sz w:val="24"/>
          <w:szCs w:val="24"/>
          <w:lang w:val="en-US"/>
        </w:rPr>
      </w:pPr>
      <w:r w:rsidRPr="00CC3507">
        <w:rPr>
          <w:rFonts w:ascii="Times New Roman" w:eastAsia="Times New Roman" w:hAnsi="Times New Roman" w:cs="Times New Roman"/>
          <w:sz w:val="24"/>
          <w:szCs w:val="24"/>
          <w:lang w:val="en-US" w:eastAsia="ru-RU"/>
        </w:rPr>
        <w:t xml:space="preserve">NCC is a central counterparty on trades. </w:t>
      </w:r>
    </w:p>
    <w:p w:rsidR="00371CC9" w:rsidRPr="00CC3507" w:rsidRDefault="00371CC9" w:rsidP="00371CC9">
      <w:pPr>
        <w:numPr>
          <w:ilvl w:val="0"/>
          <w:numId w:val="9"/>
        </w:numPr>
        <w:spacing w:after="120" w:line="240" w:lineRule="auto"/>
        <w:ind w:left="1134" w:hanging="425"/>
        <w:contextualSpacing/>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ru-RU"/>
        </w:rPr>
        <w:t>Joint</w:t>
      </w:r>
      <w:r w:rsidRPr="00CC3507">
        <w:rPr>
          <w:rFonts w:ascii="Times New Roman" w:eastAsia="Times New Roman" w:hAnsi="Times New Roman" w:cs="Times New Roman"/>
          <w:sz w:val="24"/>
          <w:szCs w:val="24"/>
          <w:lang w:val="en-US" w:eastAsia="ru-RU"/>
        </w:rPr>
        <w:t xml:space="preserve"> clearing collateral and </w:t>
      </w:r>
      <w:r>
        <w:rPr>
          <w:rFonts w:ascii="Times New Roman" w:eastAsia="Times New Roman" w:hAnsi="Times New Roman" w:cs="Times New Roman"/>
          <w:sz w:val="24"/>
          <w:szCs w:val="24"/>
          <w:lang w:val="en-US" w:eastAsia="ru-RU"/>
        </w:rPr>
        <w:t>single</w:t>
      </w:r>
      <w:r w:rsidRPr="00CC3507">
        <w:rPr>
          <w:rFonts w:ascii="Times New Roman" w:eastAsia="Times New Roman" w:hAnsi="Times New Roman" w:cs="Times New Roman"/>
          <w:sz w:val="24"/>
          <w:szCs w:val="24"/>
          <w:lang w:val="en-US" w:eastAsia="ru-RU"/>
        </w:rPr>
        <w:t xml:space="preserve"> position on </w:t>
      </w:r>
      <w:proofErr w:type="spellStart"/>
      <w:r w:rsidRPr="00CC3507">
        <w:rPr>
          <w:rFonts w:ascii="Times New Roman" w:eastAsia="Times New Roman" w:hAnsi="Times New Roman" w:cs="Times New Roman"/>
          <w:sz w:val="24"/>
          <w:szCs w:val="24"/>
          <w:lang w:val="en-US" w:eastAsia="ru-RU"/>
        </w:rPr>
        <w:t>roubles</w:t>
      </w:r>
      <w:proofErr w:type="spellEnd"/>
      <w:r w:rsidRPr="00CC3507">
        <w:rPr>
          <w:rFonts w:ascii="Times New Roman" w:eastAsia="Times New Roman" w:hAnsi="Times New Roman" w:cs="Times New Roman"/>
          <w:sz w:val="24"/>
          <w:szCs w:val="24"/>
          <w:lang w:val="en-US" w:eastAsia="ru-RU"/>
        </w:rPr>
        <w:t xml:space="preserve"> are used.</w:t>
      </w:r>
      <w:r w:rsidRPr="00CC3507">
        <w:rPr>
          <w:rFonts w:ascii="Times New Roman" w:hAnsi="Times New Roman" w:cs="Times New Roman"/>
          <w:sz w:val="24"/>
          <w:szCs w:val="24"/>
          <w:lang w:val="en-US"/>
        </w:rPr>
        <w:t xml:space="preserve"> </w:t>
      </w:r>
    </w:p>
    <w:p w:rsidR="00371CC9" w:rsidRPr="00CC3507" w:rsidRDefault="00371CC9" w:rsidP="00371CC9">
      <w:pPr>
        <w:numPr>
          <w:ilvl w:val="0"/>
          <w:numId w:val="9"/>
        </w:numPr>
        <w:spacing w:after="120" w:line="240" w:lineRule="auto"/>
        <w:ind w:left="1134" w:hanging="42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Joint</w:t>
      </w:r>
      <w:r w:rsidRPr="00CC3507">
        <w:rPr>
          <w:rFonts w:ascii="Times New Roman" w:hAnsi="Times New Roman" w:cs="Times New Roman"/>
          <w:sz w:val="24"/>
          <w:szCs w:val="24"/>
          <w:lang w:val="en-US"/>
        </w:rPr>
        <w:t xml:space="preserve"> system of margining is used, based on the portfolio approach to risk assessment. </w:t>
      </w:r>
    </w:p>
    <w:p w:rsidR="00371CC9" w:rsidRPr="00CC3507" w:rsidRDefault="00371CC9" w:rsidP="00371CC9">
      <w:pPr>
        <w:numPr>
          <w:ilvl w:val="0"/>
          <w:numId w:val="9"/>
        </w:numPr>
        <w:spacing w:after="120" w:line="240" w:lineRule="auto"/>
        <w:ind w:left="1134" w:hanging="42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General </w:t>
      </w:r>
      <w:r w:rsidRPr="00CC3507">
        <w:rPr>
          <w:rFonts w:ascii="Times New Roman" w:hAnsi="Times New Roman" w:cs="Times New Roman"/>
          <w:sz w:val="24"/>
          <w:szCs w:val="24"/>
          <w:lang w:val="en-US"/>
        </w:rPr>
        <w:t xml:space="preserve">criteria are used for the assessment of credit reliability of clearing members. </w:t>
      </w:r>
    </w:p>
    <w:p w:rsidR="00371CC9" w:rsidRPr="00CC3507" w:rsidRDefault="00371CC9" w:rsidP="00371CC9">
      <w:pPr>
        <w:numPr>
          <w:ilvl w:val="0"/>
          <w:numId w:val="9"/>
        </w:numPr>
        <w:spacing w:after="120" w:line="240" w:lineRule="auto"/>
        <w:ind w:left="1134" w:hanging="42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Joint</w:t>
      </w:r>
      <w:r w:rsidRPr="00CC3507">
        <w:rPr>
          <w:rFonts w:ascii="Times New Roman" w:hAnsi="Times New Roman" w:cs="Times New Roman"/>
          <w:sz w:val="24"/>
          <w:szCs w:val="24"/>
          <w:lang w:val="en-US"/>
        </w:rPr>
        <w:t xml:space="preserve"> settlements are carried out in Russian </w:t>
      </w:r>
      <w:proofErr w:type="spellStart"/>
      <w:r w:rsidRPr="00CC3507">
        <w:rPr>
          <w:rFonts w:ascii="Times New Roman" w:hAnsi="Times New Roman" w:cs="Times New Roman"/>
          <w:sz w:val="24"/>
          <w:szCs w:val="24"/>
          <w:lang w:val="en-US"/>
        </w:rPr>
        <w:t>roubles</w:t>
      </w:r>
      <w:proofErr w:type="spellEnd"/>
      <w:r w:rsidRPr="00CC3507">
        <w:rPr>
          <w:rFonts w:ascii="Times New Roman" w:hAnsi="Times New Roman" w:cs="Times New Roman"/>
          <w:sz w:val="24"/>
          <w:szCs w:val="24"/>
          <w:lang w:val="en-US"/>
        </w:rPr>
        <w:t>.</w:t>
      </w:r>
    </w:p>
    <w:p w:rsidR="00371CC9" w:rsidRPr="00CC3507" w:rsidRDefault="00371CC9" w:rsidP="00371CC9">
      <w:pPr>
        <w:numPr>
          <w:ilvl w:val="0"/>
          <w:numId w:val="9"/>
        </w:numPr>
        <w:spacing w:after="120" w:line="240" w:lineRule="auto"/>
        <w:ind w:left="1134" w:hanging="42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General principles</w:t>
      </w:r>
      <w:r w:rsidRPr="00CC3507">
        <w:rPr>
          <w:rFonts w:ascii="Times New Roman" w:hAnsi="Times New Roman" w:cs="Times New Roman"/>
          <w:sz w:val="24"/>
          <w:szCs w:val="24"/>
          <w:lang w:val="en-US"/>
        </w:rPr>
        <w:t xml:space="preserve"> are used </w:t>
      </w:r>
      <w:r>
        <w:rPr>
          <w:rFonts w:ascii="Times New Roman" w:hAnsi="Times New Roman" w:cs="Times New Roman"/>
          <w:sz w:val="24"/>
          <w:szCs w:val="24"/>
          <w:lang w:val="en-US"/>
        </w:rPr>
        <w:t>to resolve situations related</w:t>
      </w:r>
      <w:r w:rsidRPr="00CC3507">
        <w:rPr>
          <w:rFonts w:ascii="Times New Roman" w:hAnsi="Times New Roman" w:cs="Times New Roman"/>
          <w:sz w:val="24"/>
          <w:szCs w:val="24"/>
          <w:lang w:val="en-US"/>
        </w:rPr>
        <w:t xml:space="preserve"> with </w:t>
      </w:r>
      <w:r>
        <w:rPr>
          <w:rFonts w:ascii="Times New Roman" w:hAnsi="Times New Roman" w:cs="Times New Roman"/>
          <w:sz w:val="24"/>
          <w:szCs w:val="24"/>
          <w:lang w:val="en-US"/>
        </w:rPr>
        <w:t>default on</w:t>
      </w:r>
      <w:r w:rsidRPr="00CC3507">
        <w:rPr>
          <w:rFonts w:ascii="Times New Roman" w:hAnsi="Times New Roman" w:cs="Times New Roman"/>
          <w:sz w:val="24"/>
          <w:szCs w:val="24"/>
          <w:lang w:val="en-US"/>
        </w:rPr>
        <w:t xml:space="preserve"> trades</w:t>
      </w:r>
      <w:r>
        <w:rPr>
          <w:rFonts w:ascii="Times New Roman" w:hAnsi="Times New Roman" w:cs="Times New Roman"/>
          <w:sz w:val="24"/>
          <w:szCs w:val="24"/>
          <w:lang w:val="en-US"/>
        </w:rPr>
        <w:t>’</w:t>
      </w:r>
      <w:r w:rsidRPr="00CC3507">
        <w:rPr>
          <w:rFonts w:ascii="Times New Roman" w:hAnsi="Times New Roman" w:cs="Times New Roman"/>
          <w:sz w:val="24"/>
          <w:szCs w:val="24"/>
          <w:lang w:val="en-US"/>
        </w:rPr>
        <w:t xml:space="preserve"> obligations. </w:t>
      </w:r>
    </w:p>
    <w:p w:rsidR="00371CC9" w:rsidRPr="00CC3507" w:rsidRDefault="00371CC9" w:rsidP="00371CC9">
      <w:pPr>
        <w:numPr>
          <w:ilvl w:val="0"/>
          <w:numId w:val="9"/>
        </w:numPr>
        <w:spacing w:after="120" w:line="240" w:lineRule="auto"/>
        <w:ind w:left="1134" w:hanging="425"/>
        <w:contextualSpacing/>
        <w:jc w:val="both"/>
        <w:rPr>
          <w:rFonts w:ascii="Times New Roman" w:hAnsi="Times New Roman" w:cs="Times New Roman"/>
          <w:bCs/>
          <w:sz w:val="24"/>
          <w:szCs w:val="24"/>
          <w:lang w:val="en-US" w:eastAsia="ru-RU"/>
        </w:rPr>
      </w:pPr>
      <w:r>
        <w:rPr>
          <w:rFonts w:ascii="Times New Roman" w:hAnsi="Times New Roman" w:cs="Times New Roman"/>
          <w:sz w:val="24"/>
          <w:szCs w:val="24"/>
          <w:lang w:val="en-US"/>
        </w:rPr>
        <w:t>General</w:t>
      </w:r>
      <w:r w:rsidRPr="00CC3507">
        <w:rPr>
          <w:rFonts w:ascii="Times New Roman" w:hAnsi="Times New Roman" w:cs="Times New Roman"/>
          <w:sz w:val="24"/>
          <w:szCs w:val="24"/>
          <w:lang w:val="en-US"/>
        </w:rPr>
        <w:t xml:space="preserve"> principles of default management are used.</w:t>
      </w:r>
      <w:r w:rsidRPr="00CC3507">
        <w:rPr>
          <w:rFonts w:ascii="Times New Roman" w:hAnsi="Times New Roman" w:cs="Times New Roman"/>
          <w:bCs/>
          <w:sz w:val="24"/>
          <w:szCs w:val="24"/>
          <w:lang w:val="en-US" w:eastAsia="ru-RU"/>
        </w:rPr>
        <w:t xml:space="preserve"> </w:t>
      </w:r>
    </w:p>
    <w:p w:rsidR="00371CC9" w:rsidRPr="00CC3507" w:rsidRDefault="00371CC9" w:rsidP="00371CC9">
      <w:pPr>
        <w:spacing w:after="120" w:line="240" w:lineRule="auto"/>
        <w:ind w:left="360" w:firstLine="567"/>
        <w:contextualSpacing/>
        <w:jc w:val="both"/>
        <w:rPr>
          <w:rFonts w:ascii="Times New Roman" w:hAnsi="Times New Roman" w:cs="Times New Roman"/>
          <w:bCs/>
          <w:sz w:val="24"/>
          <w:szCs w:val="24"/>
          <w:lang w:val="en-US" w:eastAsia="ru-RU"/>
        </w:rPr>
      </w:pPr>
    </w:p>
    <w:p w:rsidR="00371CC9" w:rsidRPr="00CC3507" w:rsidRDefault="00371CC9" w:rsidP="00371CC9">
      <w:pPr>
        <w:spacing w:after="120" w:line="240" w:lineRule="auto"/>
        <w:ind w:firstLine="567"/>
        <w:jc w:val="both"/>
        <w:rPr>
          <w:rFonts w:ascii="Times New Roman" w:hAnsi="Times New Roman" w:cs="Times New Roman"/>
          <w:bCs/>
          <w:sz w:val="24"/>
          <w:szCs w:val="24"/>
          <w:lang w:val="en-US" w:eastAsia="ru-RU"/>
        </w:rPr>
      </w:pPr>
      <w:r w:rsidRPr="00CC3507">
        <w:rPr>
          <w:rFonts w:ascii="Times New Roman" w:hAnsi="Times New Roman" w:cs="Times New Roman"/>
          <w:bCs/>
          <w:sz w:val="24"/>
          <w:szCs w:val="24"/>
          <w:lang w:val="en-US" w:eastAsia="ru-RU"/>
        </w:rPr>
        <w:t xml:space="preserve">On the stage 1, the clearing is carried out on the trades with gold and silver for Russian </w:t>
      </w:r>
      <w:proofErr w:type="spellStart"/>
      <w:r w:rsidRPr="00CC3507">
        <w:rPr>
          <w:rFonts w:ascii="Times New Roman" w:hAnsi="Times New Roman" w:cs="Times New Roman"/>
          <w:bCs/>
          <w:sz w:val="24"/>
          <w:szCs w:val="24"/>
          <w:lang w:val="en-US" w:eastAsia="ru-RU"/>
        </w:rPr>
        <w:t>roubles</w:t>
      </w:r>
      <w:proofErr w:type="spellEnd"/>
      <w:r w:rsidRPr="00CC3507">
        <w:rPr>
          <w:rFonts w:ascii="Times New Roman" w:hAnsi="Times New Roman" w:cs="Times New Roman"/>
          <w:bCs/>
          <w:sz w:val="24"/>
          <w:szCs w:val="24"/>
          <w:lang w:val="en-US" w:eastAsia="ru-RU"/>
        </w:rPr>
        <w:t>:</w:t>
      </w:r>
    </w:p>
    <w:p w:rsidR="00371CC9" w:rsidRPr="00CC3507" w:rsidRDefault="00371CC9" w:rsidP="00371CC9">
      <w:pPr>
        <w:numPr>
          <w:ilvl w:val="0"/>
          <w:numId w:val="9"/>
        </w:numPr>
        <w:spacing w:after="120" w:line="240" w:lineRule="auto"/>
        <w:ind w:left="1134" w:hanging="425"/>
        <w:contextualSpacing/>
        <w:jc w:val="both"/>
        <w:rPr>
          <w:rFonts w:ascii="Times New Roman" w:hAnsi="Times New Roman" w:cs="Times New Roman"/>
          <w:sz w:val="24"/>
          <w:szCs w:val="24"/>
          <w:lang w:val="en-US"/>
        </w:rPr>
      </w:pPr>
      <w:r w:rsidRPr="00CC3507">
        <w:rPr>
          <w:rFonts w:ascii="Times New Roman" w:hAnsi="Times New Roman" w:cs="Times New Roman"/>
          <w:sz w:val="24"/>
          <w:szCs w:val="24"/>
          <w:lang w:val="en-US"/>
        </w:rPr>
        <w:t xml:space="preserve">SPOT trades: GLD/RUB, SLV/RUB with the time of execution TOD (T+0), TOM (T+1); </w:t>
      </w:r>
    </w:p>
    <w:p w:rsidR="00371CC9" w:rsidRPr="00CC3507" w:rsidRDefault="00371CC9" w:rsidP="00371CC9">
      <w:pPr>
        <w:numPr>
          <w:ilvl w:val="0"/>
          <w:numId w:val="9"/>
        </w:numPr>
        <w:spacing w:after="120" w:line="240" w:lineRule="auto"/>
        <w:ind w:left="1134" w:hanging="425"/>
        <w:contextualSpacing/>
        <w:jc w:val="both"/>
        <w:rPr>
          <w:rFonts w:ascii="Times New Roman" w:hAnsi="Times New Roman" w:cs="Times New Roman"/>
          <w:sz w:val="24"/>
          <w:szCs w:val="24"/>
          <w:lang w:val="en-US"/>
        </w:rPr>
      </w:pPr>
      <w:r w:rsidRPr="00CC3507">
        <w:rPr>
          <w:rFonts w:ascii="Times New Roman" w:hAnsi="Times New Roman" w:cs="Times New Roman"/>
          <w:sz w:val="24"/>
          <w:szCs w:val="24"/>
          <w:lang w:val="en-US"/>
        </w:rPr>
        <w:t>LTV trades (non-systemic only): GLD/RUB, SLV/RUB with the time of execution from 1 to 184 days;</w:t>
      </w:r>
    </w:p>
    <w:p w:rsidR="00371CC9" w:rsidRPr="00CC3507" w:rsidRDefault="00371CC9" w:rsidP="00371CC9">
      <w:pPr>
        <w:numPr>
          <w:ilvl w:val="0"/>
          <w:numId w:val="9"/>
        </w:numPr>
        <w:spacing w:after="120" w:line="240" w:lineRule="auto"/>
        <w:ind w:left="1134" w:hanging="425"/>
        <w:contextualSpacing/>
        <w:jc w:val="both"/>
        <w:rPr>
          <w:rFonts w:ascii="Times New Roman" w:hAnsi="Times New Roman" w:cs="Times New Roman"/>
          <w:sz w:val="24"/>
          <w:szCs w:val="24"/>
          <w:lang w:val="en-US"/>
        </w:rPr>
      </w:pPr>
      <w:r w:rsidRPr="00CC3507">
        <w:rPr>
          <w:rFonts w:ascii="Times New Roman" w:hAnsi="Times New Roman" w:cs="Times New Roman"/>
          <w:sz w:val="24"/>
          <w:szCs w:val="24"/>
          <w:lang w:val="en-US"/>
        </w:rPr>
        <w:t>SWAP trades: GLD/RUB, SLV/RUB - TOD/TOM and TOM/SPT;</w:t>
      </w:r>
    </w:p>
    <w:p w:rsidR="00371CC9" w:rsidRPr="00CC3507" w:rsidRDefault="00371CC9" w:rsidP="00371CC9">
      <w:pPr>
        <w:numPr>
          <w:ilvl w:val="0"/>
          <w:numId w:val="9"/>
        </w:numPr>
        <w:spacing w:after="120" w:line="240" w:lineRule="auto"/>
        <w:ind w:left="1134" w:hanging="425"/>
        <w:contextualSpacing/>
        <w:jc w:val="both"/>
        <w:rPr>
          <w:rFonts w:ascii="Times New Roman" w:hAnsi="Times New Roman" w:cs="Times New Roman"/>
          <w:sz w:val="24"/>
          <w:szCs w:val="24"/>
          <w:lang w:val="en-US"/>
        </w:rPr>
      </w:pPr>
      <w:r w:rsidRPr="00CC3507">
        <w:rPr>
          <w:rFonts w:ascii="Times New Roman" w:hAnsi="Times New Roman" w:cs="Times New Roman"/>
          <w:sz w:val="24"/>
          <w:szCs w:val="24"/>
          <w:lang w:val="en-US"/>
        </w:rPr>
        <w:t>SWAP trades: GLD/RUB, SLV/RUB with the time of execution for part 1 – TOM, for part 2 - 1 week; 1 and 6 months.</w:t>
      </w:r>
    </w:p>
    <w:p w:rsidR="00371CC9" w:rsidRPr="00CC3507" w:rsidRDefault="00371CC9" w:rsidP="00371CC9">
      <w:pPr>
        <w:spacing w:after="120" w:line="240" w:lineRule="auto"/>
        <w:ind w:firstLine="567"/>
        <w:jc w:val="both"/>
        <w:rPr>
          <w:rFonts w:ascii="Times New Roman" w:hAnsi="Times New Roman" w:cs="Times New Roman"/>
          <w:bCs/>
          <w:sz w:val="24"/>
          <w:szCs w:val="24"/>
          <w:lang w:val="en-US" w:eastAsia="ru-RU"/>
        </w:rPr>
      </w:pPr>
    </w:p>
    <w:p w:rsidR="00371CC9" w:rsidRPr="00CC3507" w:rsidRDefault="00371CC9" w:rsidP="00371CC9">
      <w:pPr>
        <w:spacing w:after="120" w:line="240" w:lineRule="auto"/>
        <w:ind w:firstLine="567"/>
        <w:jc w:val="both"/>
        <w:rPr>
          <w:rFonts w:ascii="Times New Roman" w:hAnsi="Times New Roman" w:cs="Times New Roman"/>
          <w:bCs/>
          <w:sz w:val="24"/>
          <w:szCs w:val="24"/>
          <w:lang w:val="en-US" w:eastAsia="ru-RU"/>
        </w:rPr>
      </w:pPr>
      <w:r w:rsidRPr="00CC3507">
        <w:rPr>
          <w:rFonts w:ascii="Times New Roman" w:hAnsi="Times New Roman" w:cs="Times New Roman"/>
          <w:bCs/>
          <w:sz w:val="24"/>
          <w:szCs w:val="24"/>
          <w:lang w:val="en-US" w:eastAsia="ru-RU"/>
        </w:rPr>
        <w:t xml:space="preserve">Execution of obligations for precious metals supply is carried out on the basis of outcome, by the transfer to depersonalized metal accounts, which will be open by NCC to clearing members. </w:t>
      </w:r>
    </w:p>
    <w:p w:rsidR="00371CC9" w:rsidRPr="00D55472" w:rsidRDefault="00371CC9" w:rsidP="00371CC9">
      <w:pPr>
        <w:spacing w:after="120" w:line="240" w:lineRule="auto"/>
        <w:ind w:firstLine="567"/>
        <w:jc w:val="both"/>
        <w:rPr>
          <w:rFonts w:ascii="Times New Roman" w:hAnsi="Times New Roman" w:cs="Times New Roman"/>
          <w:bCs/>
          <w:sz w:val="24"/>
          <w:szCs w:val="24"/>
          <w:lang w:val="en-US" w:eastAsia="ru-RU"/>
        </w:rPr>
      </w:pPr>
      <w:r w:rsidRPr="00CC3507">
        <w:rPr>
          <w:rFonts w:ascii="Times New Roman" w:hAnsi="Times New Roman" w:cs="Times New Roman"/>
          <w:bCs/>
          <w:sz w:val="24"/>
          <w:szCs w:val="24"/>
          <w:lang w:val="en-US" w:eastAsia="ru-RU"/>
        </w:rPr>
        <w:t xml:space="preserve">Thus, the system of risk management, successfully used on the FX market and guaranteeing the execution of obligations </w:t>
      </w:r>
      <w:r>
        <w:rPr>
          <w:rFonts w:ascii="Times New Roman" w:hAnsi="Times New Roman" w:cs="Times New Roman"/>
          <w:bCs/>
          <w:sz w:val="24"/>
          <w:szCs w:val="24"/>
          <w:lang w:val="en-US" w:eastAsia="ru-RU"/>
        </w:rPr>
        <w:t>to</w:t>
      </w:r>
      <w:r w:rsidRPr="00CC3507">
        <w:rPr>
          <w:rFonts w:ascii="Times New Roman" w:hAnsi="Times New Roman" w:cs="Times New Roman"/>
          <w:bCs/>
          <w:sz w:val="24"/>
          <w:szCs w:val="24"/>
          <w:lang w:val="en-US" w:eastAsia="ru-RU"/>
        </w:rPr>
        <w:t xml:space="preserve"> fair clearing members, has been extended to </w:t>
      </w:r>
      <w:r>
        <w:rPr>
          <w:rFonts w:ascii="Times New Roman" w:hAnsi="Times New Roman" w:cs="Times New Roman"/>
          <w:bCs/>
          <w:sz w:val="24"/>
          <w:szCs w:val="24"/>
          <w:lang w:val="en-US" w:eastAsia="ru-RU"/>
        </w:rPr>
        <w:t>one more</w:t>
      </w:r>
      <w:r w:rsidRPr="00CC3507">
        <w:rPr>
          <w:rFonts w:ascii="Times New Roman" w:hAnsi="Times New Roman" w:cs="Times New Roman"/>
          <w:bCs/>
          <w:sz w:val="24"/>
          <w:szCs w:val="24"/>
          <w:lang w:val="en-US" w:eastAsia="ru-RU"/>
        </w:rPr>
        <w:t xml:space="preserve"> new promising segment of </w:t>
      </w:r>
      <w:r w:rsidR="00277C5C">
        <w:rPr>
          <w:rFonts w:ascii="Times New Roman" w:hAnsi="Times New Roman" w:cs="Times New Roman"/>
          <w:bCs/>
          <w:sz w:val="24"/>
          <w:szCs w:val="24"/>
          <w:lang w:val="en-US" w:eastAsia="ru-RU"/>
        </w:rPr>
        <w:t xml:space="preserve">the </w:t>
      </w:r>
      <w:r w:rsidRPr="00CC3507">
        <w:rPr>
          <w:rFonts w:ascii="Times New Roman" w:hAnsi="Times New Roman" w:cs="Times New Roman"/>
          <w:bCs/>
          <w:sz w:val="24"/>
          <w:szCs w:val="24"/>
          <w:lang w:val="en-US" w:eastAsia="ru-RU"/>
        </w:rPr>
        <w:t xml:space="preserve">financial market. </w:t>
      </w:r>
    </w:p>
    <w:p w:rsidR="00371CC9" w:rsidRPr="00CC3507" w:rsidRDefault="00371CC9" w:rsidP="00371CC9">
      <w:pPr>
        <w:spacing w:after="120" w:line="240" w:lineRule="auto"/>
        <w:ind w:firstLine="567"/>
        <w:jc w:val="both"/>
        <w:rPr>
          <w:rFonts w:ascii="Times New Roman" w:hAnsi="Times New Roman" w:cs="Times New Roman"/>
          <w:sz w:val="24"/>
          <w:szCs w:val="24"/>
          <w:lang w:val="en-US"/>
        </w:rPr>
      </w:pPr>
    </w:p>
    <w:p w:rsidR="00371CC9" w:rsidRPr="00CC3507" w:rsidRDefault="00371CC9" w:rsidP="00371CC9">
      <w:pPr>
        <w:spacing w:before="100" w:after="120" w:line="240" w:lineRule="auto"/>
        <w:jc w:val="center"/>
        <w:rPr>
          <w:rFonts w:ascii="Times New Roman" w:hAnsi="Times New Roman" w:cs="Times New Roman"/>
          <w:b/>
          <w:sz w:val="24"/>
          <w:szCs w:val="24"/>
          <w:lang w:val="en-US"/>
        </w:rPr>
      </w:pPr>
      <w:r w:rsidRPr="00CC3507">
        <w:rPr>
          <w:rFonts w:ascii="Times New Roman" w:hAnsi="Times New Roman" w:cs="Times New Roman"/>
          <w:b/>
          <w:sz w:val="24"/>
          <w:szCs w:val="24"/>
          <w:lang w:val="en-US"/>
        </w:rPr>
        <w:t xml:space="preserve">2. The launch of centralized trades clearing for Chinese </w:t>
      </w:r>
      <w:proofErr w:type="spellStart"/>
      <w:r w:rsidRPr="00CC3507">
        <w:rPr>
          <w:rFonts w:ascii="Times New Roman" w:hAnsi="Times New Roman" w:cs="Times New Roman"/>
          <w:b/>
          <w:sz w:val="24"/>
          <w:szCs w:val="24"/>
          <w:lang w:val="en-US"/>
        </w:rPr>
        <w:t>yuan</w:t>
      </w:r>
      <w:proofErr w:type="spellEnd"/>
      <w:r w:rsidRPr="00CC3507">
        <w:rPr>
          <w:rFonts w:ascii="Times New Roman" w:hAnsi="Times New Roman" w:cs="Times New Roman"/>
          <w:b/>
          <w:sz w:val="24"/>
          <w:szCs w:val="24"/>
          <w:lang w:val="en-US"/>
        </w:rPr>
        <w:t xml:space="preserve"> with partial collateral.</w:t>
      </w:r>
    </w:p>
    <w:p w:rsidR="00371CC9" w:rsidRPr="00CC3507" w:rsidRDefault="00371CC9" w:rsidP="00371CC9">
      <w:pPr>
        <w:spacing w:after="120" w:line="240" w:lineRule="auto"/>
        <w:ind w:firstLine="567"/>
        <w:jc w:val="both"/>
        <w:rPr>
          <w:rFonts w:ascii="Times New Roman" w:hAnsi="Times New Roman" w:cs="Times New Roman"/>
          <w:sz w:val="24"/>
          <w:szCs w:val="24"/>
          <w:lang w:val="en-US"/>
        </w:rPr>
      </w:pPr>
      <w:r w:rsidRPr="00CC3507">
        <w:rPr>
          <w:rFonts w:ascii="Times New Roman" w:hAnsi="Times New Roman" w:cs="Times New Roman"/>
          <w:sz w:val="24"/>
          <w:szCs w:val="24"/>
          <w:lang w:val="en-US"/>
        </w:rPr>
        <w:t>In order to provide further development of international cooperation with Asia-Pacific region</w:t>
      </w:r>
      <w:r>
        <w:rPr>
          <w:rFonts w:ascii="Times New Roman" w:hAnsi="Times New Roman" w:cs="Times New Roman"/>
          <w:sz w:val="24"/>
          <w:szCs w:val="24"/>
          <w:lang w:val="en-US"/>
        </w:rPr>
        <w:t xml:space="preserve"> (APR)</w:t>
      </w:r>
      <w:r w:rsidRPr="00CC3507">
        <w:rPr>
          <w:rFonts w:ascii="Times New Roman" w:hAnsi="Times New Roman" w:cs="Times New Roman"/>
          <w:sz w:val="24"/>
          <w:szCs w:val="24"/>
          <w:lang w:val="en-US"/>
        </w:rPr>
        <w:t xml:space="preserve"> and to increase efficiency of settlement between China and Russia in the national currencies of two countries, the project was realized on the introduction of </w:t>
      </w:r>
      <w:r w:rsidR="00277C5C">
        <w:rPr>
          <w:rFonts w:ascii="Times New Roman" w:hAnsi="Times New Roman" w:cs="Times New Roman"/>
          <w:sz w:val="24"/>
          <w:szCs w:val="24"/>
          <w:lang w:val="en-US"/>
        </w:rPr>
        <w:t xml:space="preserve">the </w:t>
      </w:r>
      <w:r w:rsidRPr="00CC3507">
        <w:rPr>
          <w:rFonts w:ascii="Times New Roman" w:hAnsi="Times New Roman" w:cs="Times New Roman"/>
          <w:sz w:val="24"/>
          <w:szCs w:val="24"/>
          <w:lang w:val="en-US"/>
        </w:rPr>
        <w:t>clearing service for trades in currency pair ‘</w:t>
      </w:r>
      <w:proofErr w:type="spellStart"/>
      <w:r w:rsidRPr="00CC3507">
        <w:rPr>
          <w:rFonts w:ascii="Times New Roman" w:hAnsi="Times New Roman" w:cs="Times New Roman"/>
          <w:sz w:val="24"/>
          <w:szCs w:val="24"/>
          <w:lang w:val="en-US"/>
        </w:rPr>
        <w:t>yuan</w:t>
      </w:r>
      <w:proofErr w:type="spellEnd"/>
      <w:r w:rsidRPr="00CC3507">
        <w:rPr>
          <w:rFonts w:ascii="Times New Roman" w:hAnsi="Times New Roman" w:cs="Times New Roman"/>
          <w:sz w:val="24"/>
          <w:szCs w:val="24"/>
          <w:lang w:val="en-US"/>
        </w:rPr>
        <w:t>/</w:t>
      </w:r>
      <w:proofErr w:type="spellStart"/>
      <w:r w:rsidRPr="00CC3507">
        <w:rPr>
          <w:rFonts w:ascii="Times New Roman" w:hAnsi="Times New Roman" w:cs="Times New Roman"/>
          <w:sz w:val="24"/>
          <w:szCs w:val="24"/>
          <w:lang w:val="en-US"/>
        </w:rPr>
        <w:t>rouble</w:t>
      </w:r>
      <w:proofErr w:type="spellEnd"/>
      <w:r w:rsidRPr="00CC3507">
        <w:rPr>
          <w:rFonts w:ascii="Times New Roman" w:hAnsi="Times New Roman" w:cs="Times New Roman"/>
          <w:sz w:val="24"/>
          <w:szCs w:val="24"/>
          <w:lang w:val="en-US"/>
        </w:rPr>
        <w:t xml:space="preserve">’, on the condition of </w:t>
      </w:r>
      <w:r w:rsidR="00277C5C">
        <w:rPr>
          <w:rFonts w:ascii="Times New Roman" w:hAnsi="Times New Roman" w:cs="Times New Roman"/>
          <w:sz w:val="24"/>
          <w:szCs w:val="24"/>
          <w:lang w:val="en-US"/>
        </w:rPr>
        <w:t xml:space="preserve">the </w:t>
      </w:r>
      <w:r w:rsidRPr="00CC3507">
        <w:rPr>
          <w:rFonts w:ascii="Times New Roman" w:hAnsi="Times New Roman" w:cs="Times New Roman"/>
          <w:sz w:val="24"/>
          <w:szCs w:val="24"/>
          <w:lang w:val="en-US"/>
        </w:rPr>
        <w:t>partial collateral.</w:t>
      </w:r>
    </w:p>
    <w:p w:rsidR="00371CC9" w:rsidRPr="00CC3507" w:rsidRDefault="00371CC9" w:rsidP="00371CC9">
      <w:pPr>
        <w:spacing w:after="120" w:line="240" w:lineRule="auto"/>
        <w:ind w:firstLine="567"/>
        <w:jc w:val="both"/>
        <w:rPr>
          <w:rFonts w:ascii="Times New Roman" w:hAnsi="Times New Roman" w:cs="Times New Roman"/>
          <w:sz w:val="24"/>
          <w:szCs w:val="24"/>
          <w:lang w:val="en-US"/>
        </w:rPr>
      </w:pPr>
      <w:r w:rsidRPr="00CC3507">
        <w:rPr>
          <w:rFonts w:ascii="Times New Roman" w:hAnsi="Times New Roman" w:cs="Times New Roman"/>
          <w:sz w:val="24"/>
          <w:szCs w:val="24"/>
          <w:lang w:val="en-US"/>
        </w:rPr>
        <w:t xml:space="preserve">Participants of </w:t>
      </w:r>
      <w:r w:rsidR="00277C5C">
        <w:rPr>
          <w:rFonts w:ascii="Times New Roman" w:hAnsi="Times New Roman" w:cs="Times New Roman"/>
          <w:sz w:val="24"/>
          <w:szCs w:val="24"/>
          <w:lang w:val="en-US"/>
        </w:rPr>
        <w:t xml:space="preserve">the </w:t>
      </w:r>
      <w:r w:rsidRPr="00CC3507">
        <w:rPr>
          <w:rFonts w:ascii="Times New Roman" w:hAnsi="Times New Roman" w:cs="Times New Roman"/>
          <w:sz w:val="24"/>
          <w:szCs w:val="24"/>
          <w:lang w:val="en-US"/>
        </w:rPr>
        <w:t>FX market are provided with the opportunity to conclude buy/sell trades on the currency pair ‘</w:t>
      </w:r>
      <w:proofErr w:type="spellStart"/>
      <w:r w:rsidRPr="00CC3507">
        <w:rPr>
          <w:rFonts w:ascii="Times New Roman" w:hAnsi="Times New Roman" w:cs="Times New Roman"/>
          <w:sz w:val="24"/>
          <w:szCs w:val="24"/>
          <w:lang w:val="en-US"/>
        </w:rPr>
        <w:t>yuan</w:t>
      </w:r>
      <w:proofErr w:type="spellEnd"/>
      <w:r w:rsidRPr="00CC3507">
        <w:rPr>
          <w:rFonts w:ascii="Times New Roman" w:hAnsi="Times New Roman" w:cs="Times New Roman"/>
          <w:sz w:val="24"/>
          <w:szCs w:val="24"/>
          <w:lang w:val="en-US"/>
        </w:rPr>
        <w:t>/</w:t>
      </w:r>
      <w:proofErr w:type="spellStart"/>
      <w:r w:rsidRPr="00CC3507">
        <w:rPr>
          <w:rFonts w:ascii="Times New Roman" w:hAnsi="Times New Roman" w:cs="Times New Roman"/>
          <w:sz w:val="24"/>
          <w:szCs w:val="24"/>
          <w:lang w:val="en-US"/>
        </w:rPr>
        <w:t>rouble</w:t>
      </w:r>
      <w:proofErr w:type="spellEnd"/>
      <w:r w:rsidRPr="00CC3507">
        <w:rPr>
          <w:rFonts w:ascii="Times New Roman" w:hAnsi="Times New Roman" w:cs="Times New Roman"/>
          <w:sz w:val="24"/>
          <w:szCs w:val="24"/>
          <w:lang w:val="en-US"/>
        </w:rPr>
        <w:t>’, with the date of execution TOD or TOM, swap trades TOD-TOM and TOM-SPT, swap trades with the date of execution of obligations for part 1—TOM, for part 2—1.2 weeks; 1,2,3,6 months and non-systemic buy/sell trades with the date of execution of obligations of up to 184 days.</w:t>
      </w:r>
    </w:p>
    <w:p w:rsidR="00371CC9" w:rsidRPr="00CC3507" w:rsidRDefault="00371CC9" w:rsidP="00371CC9">
      <w:pPr>
        <w:spacing w:after="120" w:line="240" w:lineRule="auto"/>
        <w:ind w:firstLine="567"/>
        <w:jc w:val="both"/>
        <w:rPr>
          <w:rFonts w:ascii="Times New Roman" w:hAnsi="Times New Roman" w:cs="Times New Roman"/>
          <w:sz w:val="24"/>
          <w:szCs w:val="24"/>
          <w:lang w:val="en-US"/>
        </w:rPr>
      </w:pPr>
      <w:r w:rsidRPr="00CC3507">
        <w:rPr>
          <w:rFonts w:ascii="Times New Roman" w:hAnsi="Times New Roman" w:cs="Times New Roman"/>
          <w:sz w:val="24"/>
          <w:szCs w:val="24"/>
          <w:lang w:val="en-US"/>
        </w:rPr>
        <w:t>For the currency pair ‘</w:t>
      </w:r>
      <w:proofErr w:type="spellStart"/>
      <w:r w:rsidRPr="00CC3507">
        <w:rPr>
          <w:rFonts w:ascii="Times New Roman" w:hAnsi="Times New Roman" w:cs="Times New Roman"/>
          <w:sz w:val="24"/>
          <w:szCs w:val="24"/>
          <w:lang w:val="en-US"/>
        </w:rPr>
        <w:t>yuan</w:t>
      </w:r>
      <w:proofErr w:type="spellEnd"/>
      <w:r w:rsidRPr="00CC3507">
        <w:rPr>
          <w:rFonts w:ascii="Times New Roman" w:hAnsi="Times New Roman" w:cs="Times New Roman"/>
          <w:sz w:val="24"/>
          <w:szCs w:val="24"/>
          <w:lang w:val="en-US"/>
        </w:rPr>
        <w:t>/</w:t>
      </w:r>
      <w:proofErr w:type="spellStart"/>
      <w:r w:rsidRPr="00CC3507">
        <w:rPr>
          <w:rFonts w:ascii="Times New Roman" w:hAnsi="Times New Roman" w:cs="Times New Roman"/>
          <w:sz w:val="24"/>
          <w:szCs w:val="24"/>
          <w:lang w:val="en-US"/>
        </w:rPr>
        <w:t>rouble</w:t>
      </w:r>
      <w:proofErr w:type="spellEnd"/>
      <w:r w:rsidRPr="00CC3507">
        <w:rPr>
          <w:rFonts w:ascii="Times New Roman" w:hAnsi="Times New Roman" w:cs="Times New Roman"/>
          <w:sz w:val="24"/>
          <w:szCs w:val="24"/>
          <w:lang w:val="en-US"/>
        </w:rPr>
        <w:t xml:space="preserve">’ (CNY/RUB), the same risk parameters are used as for the currency pairs USD/RUB and EUR/RUB, in full compliance with the </w:t>
      </w:r>
      <w:r>
        <w:rPr>
          <w:rFonts w:ascii="Times New Roman" w:hAnsi="Times New Roman" w:cs="Times New Roman"/>
          <w:sz w:val="24"/>
          <w:szCs w:val="24"/>
          <w:lang w:val="en-US"/>
        </w:rPr>
        <w:t>policy</w:t>
      </w:r>
      <w:r w:rsidRPr="00CC3507">
        <w:rPr>
          <w:rFonts w:ascii="Times New Roman" w:hAnsi="Times New Roman" w:cs="Times New Roman"/>
          <w:sz w:val="24"/>
          <w:szCs w:val="24"/>
          <w:lang w:val="en-US"/>
        </w:rPr>
        <w:t xml:space="preserve"> of the existing risk management system of </w:t>
      </w:r>
      <w:r>
        <w:rPr>
          <w:rFonts w:ascii="Times New Roman" w:hAnsi="Times New Roman" w:cs="Times New Roman"/>
          <w:sz w:val="24"/>
          <w:szCs w:val="24"/>
          <w:lang w:val="en-US"/>
        </w:rPr>
        <w:t xml:space="preserve">the </w:t>
      </w:r>
      <w:r w:rsidRPr="00CC3507">
        <w:rPr>
          <w:rFonts w:ascii="Times New Roman" w:hAnsi="Times New Roman" w:cs="Times New Roman"/>
          <w:sz w:val="24"/>
          <w:szCs w:val="24"/>
          <w:lang w:val="en-US"/>
        </w:rPr>
        <w:t xml:space="preserve">FX market. The </w:t>
      </w:r>
      <w:r>
        <w:rPr>
          <w:rFonts w:ascii="Times New Roman" w:hAnsi="Times New Roman" w:cs="Times New Roman"/>
          <w:sz w:val="24"/>
          <w:szCs w:val="24"/>
          <w:lang w:val="en-US"/>
        </w:rPr>
        <w:t>funds</w:t>
      </w:r>
      <w:r w:rsidRPr="00CC3507">
        <w:rPr>
          <w:rFonts w:ascii="Times New Roman" w:hAnsi="Times New Roman" w:cs="Times New Roman"/>
          <w:sz w:val="24"/>
          <w:szCs w:val="24"/>
          <w:lang w:val="en-US"/>
        </w:rPr>
        <w:t xml:space="preserve"> in </w:t>
      </w:r>
      <w:proofErr w:type="spellStart"/>
      <w:r w:rsidRPr="00CC3507">
        <w:rPr>
          <w:rFonts w:ascii="Times New Roman" w:hAnsi="Times New Roman" w:cs="Times New Roman"/>
          <w:sz w:val="24"/>
          <w:szCs w:val="24"/>
          <w:lang w:val="en-US"/>
        </w:rPr>
        <w:t>yuan</w:t>
      </w:r>
      <w:proofErr w:type="spellEnd"/>
      <w:r w:rsidRPr="00CC3507">
        <w:rPr>
          <w:rFonts w:ascii="Times New Roman" w:hAnsi="Times New Roman" w:cs="Times New Roman"/>
          <w:sz w:val="24"/>
          <w:szCs w:val="24"/>
          <w:lang w:val="en-US"/>
        </w:rPr>
        <w:t xml:space="preserve"> can be used to guarantee obligations of Clearing Members not only in </w:t>
      </w:r>
      <w:proofErr w:type="spellStart"/>
      <w:r w:rsidRPr="00CC3507">
        <w:rPr>
          <w:rFonts w:ascii="Times New Roman" w:hAnsi="Times New Roman" w:cs="Times New Roman"/>
          <w:sz w:val="24"/>
          <w:szCs w:val="24"/>
          <w:lang w:val="en-US"/>
        </w:rPr>
        <w:t>yuans</w:t>
      </w:r>
      <w:proofErr w:type="spellEnd"/>
      <w:r w:rsidRPr="00CC3507">
        <w:rPr>
          <w:rFonts w:ascii="Times New Roman" w:hAnsi="Times New Roman" w:cs="Times New Roman"/>
          <w:sz w:val="24"/>
          <w:szCs w:val="24"/>
          <w:lang w:val="en-US"/>
        </w:rPr>
        <w:t xml:space="preserve">, but also in US dollars, euro and Russian </w:t>
      </w:r>
      <w:proofErr w:type="spellStart"/>
      <w:r w:rsidRPr="00CC3507">
        <w:rPr>
          <w:rFonts w:ascii="Times New Roman" w:hAnsi="Times New Roman" w:cs="Times New Roman"/>
          <w:sz w:val="24"/>
          <w:szCs w:val="24"/>
          <w:lang w:val="en-US"/>
        </w:rPr>
        <w:t>roubles</w:t>
      </w:r>
      <w:proofErr w:type="spellEnd"/>
      <w:r w:rsidRPr="00CC3507">
        <w:rPr>
          <w:rFonts w:ascii="Times New Roman" w:hAnsi="Times New Roman" w:cs="Times New Roman"/>
          <w:sz w:val="24"/>
          <w:szCs w:val="24"/>
          <w:lang w:val="en-US"/>
        </w:rPr>
        <w:t>.</w:t>
      </w:r>
    </w:p>
    <w:p w:rsidR="00371CC9" w:rsidRPr="00CC3507" w:rsidRDefault="00371CC9" w:rsidP="00371CC9">
      <w:pPr>
        <w:spacing w:after="120" w:line="240" w:lineRule="auto"/>
        <w:ind w:firstLine="567"/>
        <w:jc w:val="both"/>
        <w:rPr>
          <w:rFonts w:ascii="Times New Roman" w:hAnsi="Times New Roman" w:cs="Times New Roman"/>
          <w:sz w:val="24"/>
          <w:szCs w:val="24"/>
          <w:lang w:val="en-US"/>
        </w:rPr>
      </w:pPr>
      <w:r w:rsidRPr="00CC3507">
        <w:rPr>
          <w:rFonts w:ascii="Times New Roman" w:hAnsi="Times New Roman" w:cs="Times New Roman"/>
          <w:sz w:val="24"/>
          <w:szCs w:val="24"/>
          <w:lang w:val="en-US"/>
        </w:rPr>
        <w:t>Thus, the realization of this project allowed the participants of</w:t>
      </w:r>
      <w:r>
        <w:rPr>
          <w:rFonts w:ascii="Times New Roman" w:hAnsi="Times New Roman" w:cs="Times New Roman"/>
          <w:sz w:val="24"/>
          <w:szCs w:val="24"/>
          <w:lang w:val="en-US"/>
        </w:rPr>
        <w:t xml:space="preserve"> the</w:t>
      </w:r>
      <w:r w:rsidRPr="00CC3507">
        <w:rPr>
          <w:rFonts w:ascii="Times New Roman" w:hAnsi="Times New Roman" w:cs="Times New Roman"/>
          <w:sz w:val="24"/>
          <w:szCs w:val="24"/>
          <w:lang w:val="en-US"/>
        </w:rPr>
        <w:t xml:space="preserve"> FX market of Moscow Exchange Group to conclude trades with the use of Chinese </w:t>
      </w:r>
      <w:proofErr w:type="spellStart"/>
      <w:r w:rsidRPr="00CC3507">
        <w:rPr>
          <w:rFonts w:ascii="Times New Roman" w:hAnsi="Times New Roman" w:cs="Times New Roman"/>
          <w:sz w:val="24"/>
          <w:szCs w:val="24"/>
          <w:lang w:val="en-US"/>
        </w:rPr>
        <w:t>yuan</w:t>
      </w:r>
      <w:proofErr w:type="spellEnd"/>
      <w:r w:rsidRPr="00CC3507">
        <w:rPr>
          <w:rFonts w:ascii="Times New Roman" w:hAnsi="Times New Roman" w:cs="Times New Roman"/>
          <w:sz w:val="24"/>
          <w:szCs w:val="24"/>
          <w:lang w:val="en-US"/>
        </w:rPr>
        <w:t xml:space="preserve"> on the same principles as with US dollars and euro. This increased substantially </w:t>
      </w:r>
      <w:r w:rsidR="00277C5C">
        <w:rPr>
          <w:rFonts w:ascii="Times New Roman" w:hAnsi="Times New Roman" w:cs="Times New Roman"/>
          <w:sz w:val="24"/>
          <w:szCs w:val="24"/>
          <w:lang w:val="en-US"/>
        </w:rPr>
        <w:t xml:space="preserve">the </w:t>
      </w:r>
      <w:r w:rsidRPr="00CC3507">
        <w:rPr>
          <w:rFonts w:ascii="Times New Roman" w:hAnsi="Times New Roman" w:cs="Times New Roman"/>
          <w:sz w:val="24"/>
          <w:szCs w:val="24"/>
          <w:lang w:val="en-US"/>
        </w:rPr>
        <w:t xml:space="preserve">convenience and effectiveness of settlements in </w:t>
      </w:r>
      <w:proofErr w:type="spellStart"/>
      <w:r w:rsidRPr="00CC3507">
        <w:rPr>
          <w:rFonts w:ascii="Times New Roman" w:hAnsi="Times New Roman" w:cs="Times New Roman"/>
          <w:sz w:val="24"/>
          <w:szCs w:val="24"/>
          <w:lang w:val="en-US"/>
        </w:rPr>
        <w:t>yuans</w:t>
      </w:r>
      <w:proofErr w:type="spellEnd"/>
      <w:r w:rsidRPr="00CC3507">
        <w:rPr>
          <w:rFonts w:ascii="Times New Roman" w:hAnsi="Times New Roman" w:cs="Times New Roman"/>
          <w:sz w:val="24"/>
          <w:szCs w:val="24"/>
          <w:lang w:val="en-US"/>
        </w:rPr>
        <w:t xml:space="preserve"> and/or </w:t>
      </w:r>
      <w:proofErr w:type="spellStart"/>
      <w:r w:rsidRPr="00CC3507">
        <w:rPr>
          <w:rFonts w:ascii="Times New Roman" w:hAnsi="Times New Roman" w:cs="Times New Roman"/>
          <w:sz w:val="24"/>
          <w:szCs w:val="24"/>
          <w:lang w:val="en-US"/>
        </w:rPr>
        <w:t>roubles</w:t>
      </w:r>
      <w:proofErr w:type="spellEnd"/>
      <w:r w:rsidRPr="00CC3507">
        <w:rPr>
          <w:rFonts w:ascii="Times New Roman" w:hAnsi="Times New Roman" w:cs="Times New Roman"/>
          <w:sz w:val="24"/>
          <w:szCs w:val="24"/>
          <w:lang w:val="en-US"/>
        </w:rPr>
        <w:t xml:space="preserve"> for financial and trade operations among the organizations of Russia, China and other APR states.</w:t>
      </w:r>
    </w:p>
    <w:p w:rsidR="00371CC9" w:rsidRPr="00CC3507" w:rsidRDefault="00371CC9" w:rsidP="00371CC9">
      <w:pPr>
        <w:spacing w:after="120" w:line="240" w:lineRule="auto"/>
        <w:ind w:firstLine="567"/>
        <w:contextualSpacing/>
        <w:jc w:val="both"/>
        <w:rPr>
          <w:rFonts w:ascii="Times New Roman" w:hAnsi="Times New Roman" w:cs="Times New Roman"/>
          <w:sz w:val="24"/>
          <w:szCs w:val="24"/>
          <w:lang w:val="en-US" w:eastAsia="ru-RU"/>
        </w:rPr>
      </w:pPr>
      <w:r w:rsidRPr="00CC3507">
        <w:rPr>
          <w:rFonts w:ascii="Times New Roman" w:hAnsi="Times New Roman" w:cs="Times New Roman"/>
          <w:sz w:val="24"/>
          <w:szCs w:val="24"/>
          <w:lang w:val="en-US" w:eastAsia="ru-RU"/>
        </w:rPr>
        <w:t>The introduction of new, effective technologies of clearing service and the instruments attractive to investors contributed to the increase of attractiveness of the FX market of the Group and positive</w:t>
      </w:r>
      <w:r w:rsidR="00277C5C">
        <w:rPr>
          <w:rFonts w:ascii="Times New Roman" w:hAnsi="Times New Roman" w:cs="Times New Roman"/>
          <w:sz w:val="24"/>
          <w:szCs w:val="24"/>
          <w:lang w:val="en-US" w:eastAsia="ru-RU"/>
        </w:rPr>
        <w:t>ly</w:t>
      </w:r>
      <w:r w:rsidRPr="00CC3507">
        <w:rPr>
          <w:rFonts w:ascii="Times New Roman" w:hAnsi="Times New Roman" w:cs="Times New Roman"/>
          <w:sz w:val="24"/>
          <w:szCs w:val="24"/>
          <w:lang w:val="en-US" w:eastAsia="ru-RU"/>
        </w:rPr>
        <w:t xml:space="preserve"> impact</w:t>
      </w:r>
      <w:r w:rsidR="00277C5C">
        <w:rPr>
          <w:rFonts w:ascii="Times New Roman" w:hAnsi="Times New Roman" w:cs="Times New Roman"/>
          <w:sz w:val="24"/>
          <w:szCs w:val="24"/>
          <w:lang w:val="en-US" w:eastAsia="ru-RU"/>
        </w:rPr>
        <w:t>ed</w:t>
      </w:r>
      <w:r w:rsidRPr="00CC3507">
        <w:rPr>
          <w:rFonts w:ascii="Times New Roman" w:hAnsi="Times New Roman" w:cs="Times New Roman"/>
          <w:sz w:val="24"/>
          <w:szCs w:val="24"/>
          <w:lang w:val="en-US" w:eastAsia="ru-RU"/>
        </w:rPr>
        <w:t xml:space="preserve"> the NCC activities in this segment of the market. The commission fee for the clearing service on the FX market amounted to 1,040,104 thousand </w:t>
      </w:r>
      <w:proofErr w:type="spellStart"/>
      <w:r w:rsidRPr="00CC3507">
        <w:rPr>
          <w:rFonts w:ascii="Times New Roman" w:hAnsi="Times New Roman" w:cs="Times New Roman"/>
          <w:sz w:val="24"/>
          <w:szCs w:val="24"/>
          <w:lang w:val="en-US" w:eastAsia="ru-RU"/>
        </w:rPr>
        <w:t>roubles</w:t>
      </w:r>
      <w:proofErr w:type="spellEnd"/>
      <w:r w:rsidRPr="00CC3507">
        <w:rPr>
          <w:rFonts w:ascii="Times New Roman" w:hAnsi="Times New Roman" w:cs="Times New Roman"/>
          <w:sz w:val="24"/>
          <w:szCs w:val="24"/>
          <w:lang w:val="en-US" w:eastAsia="ru-RU"/>
        </w:rPr>
        <w:t xml:space="preserve"> in 2013.</w:t>
      </w:r>
    </w:p>
    <w:p w:rsidR="00371CC9" w:rsidRPr="00CC3507" w:rsidRDefault="00371CC9" w:rsidP="00371CC9">
      <w:pPr>
        <w:spacing w:after="120" w:line="240" w:lineRule="auto"/>
        <w:ind w:firstLine="567"/>
        <w:contextualSpacing/>
        <w:jc w:val="both"/>
        <w:rPr>
          <w:rFonts w:ascii="Times New Roman" w:hAnsi="Times New Roman" w:cs="Times New Roman"/>
          <w:sz w:val="24"/>
          <w:szCs w:val="24"/>
          <w:lang w:val="en-US" w:eastAsia="ru-RU"/>
        </w:rPr>
      </w:pPr>
    </w:p>
    <w:p w:rsidR="00371CC9" w:rsidRPr="00CC3507" w:rsidRDefault="00371CC9" w:rsidP="00371CC9">
      <w:pPr>
        <w:spacing w:after="120" w:line="240" w:lineRule="auto"/>
        <w:ind w:firstLine="567"/>
        <w:jc w:val="both"/>
        <w:rPr>
          <w:rFonts w:ascii="Times New Roman" w:hAnsi="Times New Roman" w:cs="Times New Roman"/>
          <w:sz w:val="24"/>
          <w:szCs w:val="24"/>
          <w:lang w:val="en-US"/>
        </w:rPr>
      </w:pPr>
    </w:p>
    <w:p w:rsidR="00371CC9" w:rsidRPr="00CC3507" w:rsidRDefault="00371CC9" w:rsidP="00371CC9">
      <w:pPr>
        <w:keepNext/>
        <w:widowControl w:val="0"/>
        <w:overflowPunct w:val="0"/>
        <w:autoSpaceDE w:val="0"/>
        <w:autoSpaceDN w:val="0"/>
        <w:adjustRightInd w:val="0"/>
        <w:spacing w:before="100" w:after="120" w:line="240" w:lineRule="auto"/>
        <w:jc w:val="center"/>
        <w:textAlignment w:val="baseline"/>
        <w:outlineLvl w:val="1"/>
        <w:rPr>
          <w:rFonts w:ascii="Times New Roman" w:eastAsia="Times New Roman" w:hAnsi="Times New Roman" w:cs="Times New Roman"/>
          <w:b/>
          <w:bCs/>
          <w:iCs/>
          <w:sz w:val="28"/>
          <w:szCs w:val="28"/>
          <w:lang w:val="en-US" w:eastAsia="ru-RU"/>
        </w:rPr>
      </w:pPr>
      <w:r w:rsidRPr="00CC3507">
        <w:rPr>
          <w:rFonts w:ascii="Times New Roman" w:eastAsia="Times New Roman" w:hAnsi="Times New Roman" w:cs="Times New Roman"/>
          <w:b/>
          <w:bCs/>
          <w:iCs/>
          <w:sz w:val="28"/>
          <w:szCs w:val="28"/>
          <w:lang w:val="en-US" w:eastAsia="ru-RU"/>
        </w:rPr>
        <w:t xml:space="preserve">5.2. </w:t>
      </w:r>
      <w:r>
        <w:rPr>
          <w:rFonts w:ascii="Times New Roman" w:eastAsia="Times New Roman" w:hAnsi="Times New Roman" w:cs="Times New Roman"/>
          <w:b/>
          <w:bCs/>
          <w:iCs/>
          <w:sz w:val="28"/>
          <w:szCs w:val="28"/>
          <w:lang w:val="en-US" w:eastAsia="ru-RU"/>
        </w:rPr>
        <w:t>C</w:t>
      </w:r>
      <w:r w:rsidRPr="00CC3507">
        <w:rPr>
          <w:rFonts w:ascii="Times New Roman" w:eastAsia="Times New Roman" w:hAnsi="Times New Roman" w:cs="Times New Roman"/>
          <w:b/>
          <w:bCs/>
          <w:iCs/>
          <w:sz w:val="28"/>
          <w:szCs w:val="28"/>
          <w:lang w:val="en-US" w:eastAsia="ru-RU"/>
        </w:rPr>
        <w:t>learing</w:t>
      </w:r>
      <w:r>
        <w:rPr>
          <w:rFonts w:ascii="Times New Roman" w:eastAsia="Times New Roman" w:hAnsi="Times New Roman" w:cs="Times New Roman"/>
          <w:b/>
          <w:bCs/>
          <w:iCs/>
          <w:sz w:val="28"/>
          <w:szCs w:val="28"/>
          <w:lang w:val="en-US" w:eastAsia="ru-RU"/>
        </w:rPr>
        <w:t xml:space="preserve"> on the securities market </w:t>
      </w:r>
    </w:p>
    <w:p w:rsidR="00371CC9" w:rsidRPr="00CC3507" w:rsidRDefault="00371CC9" w:rsidP="00371CC9">
      <w:pPr>
        <w:widowControl w:val="0"/>
        <w:tabs>
          <w:tab w:val="left" w:pos="8820"/>
        </w:tabs>
        <w:overflowPunct w:val="0"/>
        <w:autoSpaceDE w:val="0"/>
        <w:autoSpaceDN w:val="0"/>
        <w:adjustRightInd w:val="0"/>
        <w:spacing w:before="100" w:after="120" w:line="240" w:lineRule="auto"/>
        <w:jc w:val="center"/>
        <w:textAlignment w:val="baseline"/>
        <w:rPr>
          <w:rFonts w:ascii="Times New Roman" w:eastAsia="Times New Roman" w:hAnsi="Times New Roman" w:cs="Times New Roman"/>
          <w:b/>
          <w:sz w:val="24"/>
          <w:szCs w:val="24"/>
          <w:lang w:val="en-US" w:eastAsia="ru-RU"/>
        </w:rPr>
      </w:pPr>
    </w:p>
    <w:p w:rsidR="00371CC9" w:rsidRPr="00CC3507" w:rsidRDefault="00371CC9" w:rsidP="00371CC9">
      <w:pPr>
        <w:spacing w:after="120" w:line="240" w:lineRule="auto"/>
        <w:ind w:firstLine="567"/>
        <w:jc w:val="both"/>
        <w:rPr>
          <w:rFonts w:ascii="Times New Roman" w:hAnsi="Times New Roman" w:cs="Times New Roman"/>
          <w:sz w:val="24"/>
          <w:szCs w:val="24"/>
          <w:lang w:val="en-US" w:eastAsia="ru-RU"/>
        </w:rPr>
      </w:pPr>
      <w:r w:rsidRPr="00CC3507">
        <w:rPr>
          <w:rFonts w:ascii="Times New Roman" w:hAnsi="Times New Roman" w:cs="Times New Roman"/>
          <w:sz w:val="24"/>
          <w:szCs w:val="24"/>
          <w:lang w:val="en-US"/>
        </w:rPr>
        <w:t xml:space="preserve"> National Clearing Centre carries out clearing activities on the securities market as the central counterparty since November</w:t>
      </w:r>
      <w:r w:rsidR="004C7F96">
        <w:rPr>
          <w:rFonts w:ascii="Times New Roman" w:hAnsi="Times New Roman" w:cs="Times New Roman"/>
          <w:sz w:val="24"/>
          <w:szCs w:val="24"/>
          <w:lang w:val="en-US"/>
        </w:rPr>
        <w:t xml:space="preserve"> 1,</w:t>
      </w:r>
      <w:r w:rsidRPr="00CC3507">
        <w:rPr>
          <w:rFonts w:ascii="Times New Roman" w:hAnsi="Times New Roman" w:cs="Times New Roman"/>
          <w:sz w:val="24"/>
          <w:szCs w:val="24"/>
          <w:lang w:val="en-US"/>
        </w:rPr>
        <w:t xml:space="preserve"> 2011. Settlements on clearing on the securities market are carried out by the non-bank credit organization Closed Joint-Stock Company National Settlement Depository (hereinafter</w:t>
      </w:r>
      <w:r w:rsidR="004C7F96">
        <w:rPr>
          <w:rFonts w:ascii="Times New Roman" w:hAnsi="Times New Roman" w:cs="Times New Roman"/>
          <w:sz w:val="24"/>
          <w:szCs w:val="24"/>
          <w:lang w:val="en-US"/>
        </w:rPr>
        <w:t xml:space="preserve"> -</w:t>
      </w:r>
      <w:r w:rsidRPr="00CC3507">
        <w:rPr>
          <w:rFonts w:ascii="Times New Roman" w:hAnsi="Times New Roman" w:cs="Times New Roman"/>
          <w:sz w:val="24"/>
          <w:szCs w:val="24"/>
          <w:lang w:val="en-US"/>
        </w:rPr>
        <w:t xml:space="preserve"> NCO CJSC NSD). Trading </w:t>
      </w:r>
      <w:proofErr w:type="spellStart"/>
      <w:r w:rsidRPr="00CC3507">
        <w:rPr>
          <w:rFonts w:ascii="Times New Roman" w:hAnsi="Times New Roman" w:cs="Times New Roman"/>
          <w:sz w:val="24"/>
          <w:szCs w:val="24"/>
          <w:lang w:val="en-US"/>
        </w:rPr>
        <w:t>on</w:t>
      </w:r>
      <w:r w:rsidR="004C7F96">
        <w:rPr>
          <w:rFonts w:ascii="Times New Roman" w:hAnsi="Times New Roman" w:cs="Times New Roman"/>
          <w:sz w:val="24"/>
          <w:szCs w:val="24"/>
          <w:lang w:val="en-US"/>
        </w:rPr>
        <w:t>the</w:t>
      </w:r>
      <w:proofErr w:type="spellEnd"/>
      <w:r w:rsidRPr="00CC3507">
        <w:rPr>
          <w:rFonts w:ascii="Times New Roman" w:hAnsi="Times New Roman" w:cs="Times New Roman"/>
          <w:sz w:val="24"/>
          <w:szCs w:val="24"/>
          <w:lang w:val="en-US"/>
        </w:rPr>
        <w:t xml:space="preserve"> securities market is carried out both in anonymous and negotiation modes.</w:t>
      </w:r>
    </w:p>
    <w:p w:rsidR="00371CC9" w:rsidRPr="00CC3507" w:rsidRDefault="00371CC9" w:rsidP="00371CC9">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rPr>
      </w:pPr>
      <w:r w:rsidRPr="00CC3507">
        <w:rPr>
          <w:rFonts w:ascii="Times New Roman" w:hAnsi="Times New Roman" w:cs="Times New Roman"/>
          <w:sz w:val="24"/>
          <w:szCs w:val="24"/>
          <w:lang w:val="en-US"/>
        </w:rPr>
        <w:t>NCC carries out the clearing on securities market for trades, on which settlements can be made:</w:t>
      </w:r>
    </w:p>
    <w:p w:rsidR="00371CC9" w:rsidRPr="00CC3507" w:rsidRDefault="00371CC9" w:rsidP="00371CC9">
      <w:pPr>
        <w:widowControl w:val="0"/>
        <w:numPr>
          <w:ilvl w:val="0"/>
          <w:numId w:val="3"/>
        </w:numPr>
        <w:overflowPunct w:val="0"/>
        <w:autoSpaceDE w:val="0"/>
        <w:autoSpaceDN w:val="0"/>
        <w:adjustRightInd w:val="0"/>
        <w:spacing w:after="120" w:line="240" w:lineRule="auto"/>
        <w:ind w:left="1417" w:hanging="567"/>
        <w:contextualSpacing/>
        <w:jc w:val="both"/>
        <w:textAlignment w:val="baseline"/>
        <w:rPr>
          <w:rFonts w:ascii="Times New Roman" w:eastAsia="Times New Roman" w:hAnsi="Times New Roman" w:cs="Times New Roman"/>
          <w:sz w:val="24"/>
          <w:szCs w:val="24"/>
          <w:lang w:val="en-US"/>
        </w:rPr>
      </w:pPr>
      <w:r w:rsidRPr="00CC3507">
        <w:rPr>
          <w:rFonts w:ascii="Times New Roman" w:hAnsi="Times New Roman" w:cs="Times New Roman"/>
          <w:sz w:val="24"/>
          <w:szCs w:val="24"/>
          <w:lang w:val="en-US"/>
        </w:rPr>
        <w:t xml:space="preserve">at the </w:t>
      </w:r>
      <w:r w:rsidR="004C7F96">
        <w:rPr>
          <w:rFonts w:ascii="Times New Roman" w:hAnsi="Times New Roman" w:cs="Times New Roman"/>
          <w:sz w:val="24"/>
          <w:szCs w:val="24"/>
          <w:lang w:val="en-US"/>
        </w:rPr>
        <w:t>c</w:t>
      </w:r>
      <w:r w:rsidRPr="00CC3507">
        <w:rPr>
          <w:rFonts w:ascii="Times New Roman" w:hAnsi="Times New Roman" w:cs="Times New Roman"/>
          <w:sz w:val="24"/>
          <w:szCs w:val="24"/>
          <w:lang w:val="en-US"/>
        </w:rPr>
        <w:t xml:space="preserve">learing </w:t>
      </w:r>
      <w:r w:rsidR="004C7F96">
        <w:rPr>
          <w:rFonts w:ascii="Times New Roman" w:hAnsi="Times New Roman" w:cs="Times New Roman"/>
          <w:sz w:val="24"/>
          <w:szCs w:val="24"/>
          <w:lang w:val="en-US"/>
        </w:rPr>
        <w:t>m</w:t>
      </w:r>
      <w:r w:rsidRPr="00CC3507">
        <w:rPr>
          <w:rFonts w:ascii="Times New Roman" w:hAnsi="Times New Roman" w:cs="Times New Roman"/>
          <w:sz w:val="24"/>
          <w:szCs w:val="24"/>
          <w:lang w:val="en-US"/>
        </w:rPr>
        <w:t xml:space="preserve">embers' expense; </w:t>
      </w:r>
    </w:p>
    <w:p w:rsidR="00371CC9" w:rsidRPr="00CC3507" w:rsidRDefault="00371CC9" w:rsidP="00371CC9">
      <w:pPr>
        <w:widowControl w:val="0"/>
        <w:numPr>
          <w:ilvl w:val="0"/>
          <w:numId w:val="3"/>
        </w:numPr>
        <w:overflowPunct w:val="0"/>
        <w:autoSpaceDE w:val="0"/>
        <w:autoSpaceDN w:val="0"/>
        <w:adjustRightInd w:val="0"/>
        <w:spacing w:after="120" w:line="240" w:lineRule="auto"/>
        <w:ind w:left="1417" w:hanging="567"/>
        <w:contextualSpacing/>
        <w:jc w:val="both"/>
        <w:textAlignment w:val="baseline"/>
        <w:rPr>
          <w:rFonts w:ascii="Times New Roman" w:eastAsia="Times New Roman" w:hAnsi="Times New Roman" w:cs="Times New Roman"/>
          <w:sz w:val="24"/>
          <w:szCs w:val="24"/>
          <w:lang w:val="en-US"/>
        </w:rPr>
      </w:pPr>
      <w:r w:rsidRPr="00CC3507">
        <w:rPr>
          <w:rFonts w:ascii="Times New Roman" w:hAnsi="Times New Roman" w:cs="Times New Roman"/>
          <w:sz w:val="24"/>
          <w:szCs w:val="24"/>
          <w:lang w:val="en-US"/>
        </w:rPr>
        <w:t xml:space="preserve">at the expense of the </w:t>
      </w:r>
      <w:r w:rsidR="004C7F96">
        <w:rPr>
          <w:rFonts w:ascii="Times New Roman" w:hAnsi="Times New Roman" w:cs="Times New Roman"/>
          <w:sz w:val="24"/>
          <w:szCs w:val="24"/>
          <w:lang w:val="en-US"/>
        </w:rPr>
        <w:t>c</w:t>
      </w:r>
      <w:r w:rsidRPr="00CC3507">
        <w:rPr>
          <w:rFonts w:ascii="Times New Roman" w:hAnsi="Times New Roman" w:cs="Times New Roman"/>
          <w:sz w:val="24"/>
          <w:szCs w:val="24"/>
          <w:lang w:val="en-US"/>
        </w:rPr>
        <w:t xml:space="preserve">lients of </w:t>
      </w:r>
      <w:r w:rsidR="004C7F96">
        <w:rPr>
          <w:rFonts w:ascii="Times New Roman" w:hAnsi="Times New Roman" w:cs="Times New Roman"/>
          <w:sz w:val="24"/>
          <w:szCs w:val="24"/>
          <w:lang w:val="en-US"/>
        </w:rPr>
        <w:t>c</w:t>
      </w:r>
      <w:r w:rsidRPr="00CC3507">
        <w:rPr>
          <w:rFonts w:ascii="Times New Roman" w:hAnsi="Times New Roman" w:cs="Times New Roman"/>
          <w:sz w:val="24"/>
          <w:szCs w:val="24"/>
          <w:lang w:val="en-US"/>
        </w:rPr>
        <w:t xml:space="preserve">learing </w:t>
      </w:r>
      <w:r w:rsidR="004C7F96">
        <w:rPr>
          <w:rFonts w:ascii="Times New Roman" w:hAnsi="Times New Roman" w:cs="Times New Roman"/>
          <w:sz w:val="24"/>
          <w:szCs w:val="24"/>
          <w:lang w:val="en-US"/>
        </w:rPr>
        <w:t>m</w:t>
      </w:r>
      <w:r w:rsidRPr="00CC3507">
        <w:rPr>
          <w:rFonts w:ascii="Times New Roman" w:hAnsi="Times New Roman" w:cs="Times New Roman"/>
          <w:sz w:val="24"/>
          <w:szCs w:val="24"/>
          <w:lang w:val="en-US"/>
        </w:rPr>
        <w:t>embers;</w:t>
      </w:r>
    </w:p>
    <w:p w:rsidR="00371CC9" w:rsidRPr="00CC3507" w:rsidRDefault="00371CC9" w:rsidP="00371CC9">
      <w:pPr>
        <w:widowControl w:val="0"/>
        <w:numPr>
          <w:ilvl w:val="0"/>
          <w:numId w:val="3"/>
        </w:numPr>
        <w:overflowPunct w:val="0"/>
        <w:autoSpaceDE w:val="0"/>
        <w:autoSpaceDN w:val="0"/>
        <w:adjustRightInd w:val="0"/>
        <w:spacing w:after="120" w:line="240" w:lineRule="auto"/>
        <w:ind w:left="1417" w:hanging="567"/>
        <w:contextualSpacing/>
        <w:jc w:val="both"/>
        <w:textAlignment w:val="baseline"/>
        <w:rPr>
          <w:rFonts w:ascii="Times New Roman" w:eastAsia="Times New Roman" w:hAnsi="Times New Roman" w:cs="Times New Roman"/>
          <w:sz w:val="24"/>
          <w:szCs w:val="24"/>
          <w:lang w:val="en-US"/>
        </w:rPr>
      </w:pPr>
      <w:proofErr w:type="gramStart"/>
      <w:r w:rsidRPr="00CC3507">
        <w:rPr>
          <w:rFonts w:ascii="Times New Roman" w:hAnsi="Times New Roman" w:cs="Times New Roman"/>
          <w:sz w:val="24"/>
          <w:szCs w:val="24"/>
          <w:lang w:val="en-US"/>
        </w:rPr>
        <w:t>at</w:t>
      </w:r>
      <w:proofErr w:type="gramEnd"/>
      <w:r w:rsidRPr="00CC3507">
        <w:rPr>
          <w:rFonts w:ascii="Times New Roman" w:hAnsi="Times New Roman" w:cs="Times New Roman"/>
          <w:sz w:val="24"/>
          <w:szCs w:val="24"/>
          <w:lang w:val="en-US"/>
        </w:rPr>
        <w:t xml:space="preserve"> the expense of funds in trust management of </w:t>
      </w:r>
      <w:r w:rsidR="004C7F96">
        <w:rPr>
          <w:rFonts w:ascii="Times New Roman" w:hAnsi="Times New Roman" w:cs="Times New Roman"/>
          <w:sz w:val="24"/>
          <w:szCs w:val="24"/>
          <w:lang w:val="en-US"/>
        </w:rPr>
        <w:t>c</w:t>
      </w:r>
      <w:r w:rsidRPr="00CC3507">
        <w:rPr>
          <w:rFonts w:ascii="Times New Roman" w:hAnsi="Times New Roman" w:cs="Times New Roman"/>
          <w:sz w:val="24"/>
          <w:szCs w:val="24"/>
          <w:lang w:val="en-US"/>
        </w:rPr>
        <w:t xml:space="preserve">learing </w:t>
      </w:r>
      <w:r w:rsidR="004C7F96">
        <w:rPr>
          <w:rFonts w:ascii="Times New Roman" w:hAnsi="Times New Roman" w:cs="Times New Roman"/>
          <w:sz w:val="24"/>
          <w:szCs w:val="24"/>
          <w:lang w:val="en-US"/>
        </w:rPr>
        <w:t>m</w:t>
      </w:r>
      <w:r w:rsidRPr="00CC3507">
        <w:rPr>
          <w:rFonts w:ascii="Times New Roman" w:hAnsi="Times New Roman" w:cs="Times New Roman"/>
          <w:sz w:val="24"/>
          <w:szCs w:val="24"/>
          <w:lang w:val="en-US"/>
        </w:rPr>
        <w:t>embers.</w:t>
      </w:r>
    </w:p>
    <w:p w:rsidR="00371CC9" w:rsidRPr="00CC3507" w:rsidRDefault="00371CC9" w:rsidP="00371CC9">
      <w:pPr>
        <w:spacing w:after="120" w:line="240" w:lineRule="auto"/>
        <w:ind w:firstLine="567"/>
        <w:jc w:val="both"/>
        <w:rPr>
          <w:rFonts w:ascii="Times New Roman" w:hAnsi="Times New Roman" w:cs="Times New Roman"/>
          <w:sz w:val="24"/>
          <w:szCs w:val="24"/>
          <w:lang w:val="en-US" w:eastAsia="ru-RU"/>
        </w:rPr>
      </w:pPr>
    </w:p>
    <w:p w:rsidR="00371CC9" w:rsidRPr="00CC3507" w:rsidRDefault="00371CC9" w:rsidP="00371CC9">
      <w:pPr>
        <w:spacing w:after="120" w:line="240" w:lineRule="auto"/>
        <w:ind w:firstLine="567"/>
        <w:jc w:val="both"/>
        <w:rPr>
          <w:rFonts w:ascii="Times New Roman" w:hAnsi="Times New Roman" w:cs="Times New Roman"/>
          <w:sz w:val="24"/>
          <w:szCs w:val="24"/>
          <w:lang w:val="en-US"/>
        </w:rPr>
      </w:pPr>
      <w:r w:rsidRPr="00CC3507">
        <w:rPr>
          <w:rFonts w:ascii="Times New Roman" w:hAnsi="Times New Roman" w:cs="Times New Roman"/>
          <w:sz w:val="24"/>
          <w:szCs w:val="24"/>
          <w:lang w:val="en-US"/>
        </w:rPr>
        <w:t xml:space="preserve"> National Clearing Centre carries out the clearing on</w:t>
      </w:r>
      <w:r w:rsidR="004C7F96">
        <w:rPr>
          <w:rFonts w:ascii="Times New Roman" w:hAnsi="Times New Roman" w:cs="Times New Roman"/>
          <w:sz w:val="24"/>
          <w:szCs w:val="24"/>
          <w:lang w:val="en-US"/>
        </w:rPr>
        <w:t xml:space="preserve"> the </w:t>
      </w:r>
      <w:r w:rsidRPr="00CC3507">
        <w:rPr>
          <w:rFonts w:ascii="Times New Roman" w:hAnsi="Times New Roman" w:cs="Times New Roman"/>
          <w:sz w:val="24"/>
          <w:szCs w:val="24"/>
          <w:lang w:val="en-US"/>
        </w:rPr>
        <w:t>securities market on trades with the following instruments:</w:t>
      </w:r>
    </w:p>
    <w:p w:rsidR="00371CC9" w:rsidRPr="00CC3507" w:rsidRDefault="00371CC9" w:rsidP="00371CC9">
      <w:pPr>
        <w:spacing w:after="120" w:line="240" w:lineRule="auto"/>
        <w:ind w:firstLine="567"/>
        <w:jc w:val="both"/>
        <w:rPr>
          <w:rFonts w:ascii="Times New Roman" w:hAnsi="Times New Roman" w:cs="Times New Roman"/>
          <w:sz w:val="24"/>
          <w:szCs w:val="24"/>
          <w:lang w:val="en-US"/>
        </w:rPr>
      </w:pPr>
    </w:p>
    <w:p w:rsidR="00371CC9" w:rsidRPr="00CC3507" w:rsidRDefault="00371CC9" w:rsidP="00371CC9">
      <w:pPr>
        <w:numPr>
          <w:ilvl w:val="0"/>
          <w:numId w:val="21"/>
        </w:numPr>
        <w:spacing w:after="120" w:line="240" w:lineRule="auto"/>
        <w:ind w:left="426" w:firstLine="567"/>
        <w:jc w:val="both"/>
        <w:rPr>
          <w:rFonts w:ascii="Times New Roman" w:hAnsi="Times New Roman" w:cs="Times New Roman"/>
          <w:sz w:val="24"/>
          <w:szCs w:val="24"/>
          <w:lang w:val="en-US"/>
        </w:rPr>
      </w:pPr>
      <w:r w:rsidRPr="00CC3507">
        <w:rPr>
          <w:rFonts w:ascii="Times New Roman" w:hAnsi="Times New Roman" w:cs="Times New Roman"/>
          <w:sz w:val="24"/>
          <w:szCs w:val="24"/>
          <w:lang w:val="en-US"/>
        </w:rPr>
        <w:t xml:space="preserve">Clearing on buy-sell trades with </w:t>
      </w:r>
      <w:r w:rsidR="004C7F96">
        <w:rPr>
          <w:rFonts w:ascii="Times New Roman" w:hAnsi="Times New Roman" w:cs="Times New Roman"/>
          <w:sz w:val="24"/>
          <w:szCs w:val="24"/>
          <w:lang w:val="en-US"/>
        </w:rPr>
        <w:t xml:space="preserve">the </w:t>
      </w:r>
      <w:r w:rsidRPr="00CC3507">
        <w:rPr>
          <w:rFonts w:ascii="Times New Roman" w:hAnsi="Times New Roman" w:cs="Times New Roman"/>
          <w:sz w:val="24"/>
          <w:szCs w:val="24"/>
          <w:lang w:val="en-US"/>
        </w:rPr>
        <w:t>partial initial collateral:</w:t>
      </w:r>
    </w:p>
    <w:tbl>
      <w:tblPr>
        <w:tblpPr w:leftFromText="180" w:rightFromText="180" w:vertAnchor="text" w:horzAnchor="margin" w:tblpX="-176" w:tblpY="40"/>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1417"/>
        <w:gridCol w:w="1276"/>
        <w:gridCol w:w="1559"/>
        <w:gridCol w:w="1594"/>
        <w:gridCol w:w="1701"/>
      </w:tblGrid>
      <w:tr w:rsidR="00371CC9" w:rsidRPr="009F55B7" w:rsidTr="00371CC9">
        <w:tc>
          <w:tcPr>
            <w:tcW w:w="959" w:type="dxa"/>
          </w:tcPr>
          <w:p w:rsidR="00371CC9" w:rsidRPr="00CC3507" w:rsidRDefault="00371CC9" w:rsidP="00371CC9">
            <w:pPr>
              <w:spacing w:after="0" w:line="240" w:lineRule="auto"/>
              <w:jc w:val="both"/>
              <w:rPr>
                <w:rFonts w:ascii="Times New Roman" w:hAnsi="Times New Roman" w:cs="Times New Roman"/>
                <w:iCs/>
                <w:sz w:val="24"/>
                <w:szCs w:val="24"/>
                <w:lang w:val="en-US"/>
              </w:rPr>
            </w:pPr>
            <w:r w:rsidRPr="00CC3507">
              <w:rPr>
                <w:rFonts w:ascii="Times New Roman" w:hAnsi="Times New Roman" w:cs="Times New Roman"/>
                <w:b/>
                <w:bCs/>
                <w:iCs/>
                <w:sz w:val="24"/>
                <w:szCs w:val="24"/>
                <w:lang w:val="en-US"/>
              </w:rPr>
              <w:t>Settlement code</w:t>
            </w:r>
          </w:p>
        </w:tc>
        <w:tc>
          <w:tcPr>
            <w:tcW w:w="1276" w:type="dxa"/>
          </w:tcPr>
          <w:p w:rsidR="00371CC9" w:rsidRPr="00CC3507" w:rsidRDefault="00371CC9" w:rsidP="00371CC9">
            <w:pPr>
              <w:spacing w:after="0" w:line="240" w:lineRule="auto"/>
              <w:jc w:val="both"/>
              <w:rPr>
                <w:rFonts w:ascii="Times New Roman" w:hAnsi="Times New Roman" w:cs="Times New Roman"/>
                <w:iCs/>
                <w:sz w:val="24"/>
                <w:szCs w:val="24"/>
                <w:lang w:val="en-US"/>
              </w:rPr>
            </w:pPr>
            <w:r>
              <w:rPr>
                <w:rFonts w:ascii="Times New Roman" w:hAnsi="Times New Roman" w:cs="Times New Roman"/>
                <w:b/>
                <w:bCs/>
                <w:iCs/>
                <w:sz w:val="24"/>
                <w:szCs w:val="24"/>
                <w:lang w:val="en-US"/>
              </w:rPr>
              <w:t xml:space="preserve"> Order</w:t>
            </w:r>
            <w:r w:rsidRPr="00CC3507">
              <w:rPr>
                <w:rFonts w:ascii="Times New Roman" w:hAnsi="Times New Roman" w:cs="Times New Roman"/>
                <w:b/>
                <w:bCs/>
                <w:iCs/>
                <w:sz w:val="24"/>
                <w:szCs w:val="24"/>
                <w:lang w:val="en-US"/>
              </w:rPr>
              <w:t xml:space="preserve"> type</w:t>
            </w:r>
          </w:p>
        </w:tc>
        <w:tc>
          <w:tcPr>
            <w:tcW w:w="1417" w:type="dxa"/>
          </w:tcPr>
          <w:p w:rsidR="00371CC9" w:rsidRPr="00CC3507" w:rsidRDefault="00371CC9" w:rsidP="00371CC9">
            <w:pPr>
              <w:spacing w:after="0" w:line="240" w:lineRule="auto"/>
              <w:jc w:val="both"/>
              <w:rPr>
                <w:rFonts w:ascii="Times New Roman" w:hAnsi="Times New Roman" w:cs="Times New Roman"/>
                <w:iCs/>
                <w:sz w:val="24"/>
                <w:szCs w:val="24"/>
                <w:lang w:val="en-US"/>
              </w:rPr>
            </w:pPr>
            <w:r w:rsidRPr="00CC3507">
              <w:rPr>
                <w:rFonts w:ascii="Times New Roman" w:hAnsi="Times New Roman" w:cs="Times New Roman"/>
                <w:b/>
                <w:bCs/>
                <w:iCs/>
                <w:sz w:val="24"/>
                <w:szCs w:val="24"/>
                <w:lang w:val="en-US"/>
              </w:rPr>
              <w:t>Trade type</w:t>
            </w:r>
          </w:p>
        </w:tc>
        <w:tc>
          <w:tcPr>
            <w:tcW w:w="1276" w:type="dxa"/>
          </w:tcPr>
          <w:p w:rsidR="00371CC9" w:rsidRPr="00CC3507" w:rsidRDefault="00371CC9" w:rsidP="00371CC9">
            <w:pPr>
              <w:spacing w:after="0" w:line="240" w:lineRule="auto"/>
              <w:jc w:val="both"/>
              <w:rPr>
                <w:rFonts w:ascii="Times New Roman" w:hAnsi="Times New Roman" w:cs="Times New Roman"/>
                <w:iCs/>
                <w:sz w:val="24"/>
                <w:szCs w:val="24"/>
                <w:lang w:val="en-US"/>
              </w:rPr>
            </w:pPr>
            <w:r w:rsidRPr="00CC3507">
              <w:rPr>
                <w:rFonts w:ascii="Times New Roman" w:hAnsi="Times New Roman" w:cs="Times New Roman"/>
                <w:b/>
                <w:bCs/>
                <w:iCs/>
                <w:sz w:val="24"/>
                <w:szCs w:val="24"/>
                <w:lang w:val="en-US"/>
              </w:rPr>
              <w:t>Execution date</w:t>
            </w:r>
          </w:p>
        </w:tc>
        <w:tc>
          <w:tcPr>
            <w:tcW w:w="1559" w:type="dxa"/>
          </w:tcPr>
          <w:p w:rsidR="00371CC9" w:rsidRPr="00CC3507" w:rsidRDefault="00371CC9" w:rsidP="00371CC9">
            <w:pPr>
              <w:spacing w:after="0" w:line="240" w:lineRule="auto"/>
              <w:jc w:val="both"/>
              <w:rPr>
                <w:rFonts w:ascii="Times New Roman" w:hAnsi="Times New Roman" w:cs="Times New Roman"/>
                <w:iCs/>
                <w:sz w:val="24"/>
                <w:szCs w:val="24"/>
                <w:lang w:val="en-US"/>
              </w:rPr>
            </w:pPr>
            <w:r w:rsidRPr="00CC3507">
              <w:rPr>
                <w:rFonts w:ascii="Times New Roman" w:hAnsi="Times New Roman" w:cs="Times New Roman"/>
                <w:b/>
                <w:bCs/>
                <w:iCs/>
                <w:sz w:val="24"/>
                <w:szCs w:val="24"/>
                <w:lang w:val="en-US"/>
              </w:rPr>
              <w:t>Clearing type</w:t>
            </w:r>
          </w:p>
        </w:tc>
        <w:tc>
          <w:tcPr>
            <w:tcW w:w="1594" w:type="dxa"/>
          </w:tcPr>
          <w:p w:rsidR="00371CC9" w:rsidRPr="00CC3507" w:rsidRDefault="00371CC9" w:rsidP="00371CC9">
            <w:pPr>
              <w:spacing w:after="0" w:line="240" w:lineRule="auto"/>
              <w:jc w:val="both"/>
              <w:rPr>
                <w:rFonts w:ascii="Times New Roman" w:hAnsi="Times New Roman" w:cs="Times New Roman"/>
                <w:iCs/>
                <w:sz w:val="24"/>
                <w:szCs w:val="24"/>
                <w:lang w:val="en-US"/>
              </w:rPr>
            </w:pPr>
            <w:r w:rsidRPr="00CC3507">
              <w:rPr>
                <w:rFonts w:ascii="Times New Roman" w:hAnsi="Times New Roman" w:cs="Times New Roman"/>
                <w:b/>
                <w:bCs/>
                <w:iCs/>
                <w:sz w:val="24"/>
                <w:szCs w:val="24"/>
                <w:lang w:val="en-US"/>
              </w:rPr>
              <w:t>Settlement order</w:t>
            </w:r>
          </w:p>
        </w:tc>
        <w:tc>
          <w:tcPr>
            <w:tcW w:w="1701" w:type="dxa"/>
          </w:tcPr>
          <w:p w:rsidR="00371CC9" w:rsidRPr="00CC3507" w:rsidRDefault="00371CC9" w:rsidP="00371CC9">
            <w:pPr>
              <w:spacing w:after="0" w:line="240" w:lineRule="auto"/>
              <w:jc w:val="both"/>
              <w:rPr>
                <w:rFonts w:ascii="Times New Roman" w:hAnsi="Times New Roman" w:cs="Times New Roman"/>
                <w:iCs/>
                <w:sz w:val="24"/>
                <w:szCs w:val="24"/>
                <w:lang w:val="en-US"/>
              </w:rPr>
            </w:pPr>
            <w:r w:rsidRPr="00CC3507">
              <w:rPr>
                <w:rFonts w:ascii="Times New Roman" w:hAnsi="Times New Roman" w:cs="Times New Roman"/>
                <w:b/>
                <w:bCs/>
                <w:iCs/>
                <w:sz w:val="24"/>
                <w:szCs w:val="24"/>
                <w:lang w:val="en-US"/>
              </w:rPr>
              <w:t>Re</w:t>
            </w:r>
            <w:r>
              <w:rPr>
                <w:rFonts w:ascii="Times New Roman" w:hAnsi="Times New Roman" w:cs="Times New Roman"/>
                <w:b/>
                <w:bCs/>
                <w:iCs/>
                <w:sz w:val="24"/>
                <w:szCs w:val="24"/>
                <w:lang w:val="en-US"/>
              </w:rPr>
              <w:t>solution</w:t>
            </w:r>
            <w:r w:rsidRPr="00CC3507">
              <w:rPr>
                <w:rFonts w:ascii="Times New Roman" w:hAnsi="Times New Roman" w:cs="Times New Roman"/>
                <w:b/>
                <w:bCs/>
                <w:iCs/>
                <w:sz w:val="24"/>
                <w:szCs w:val="24"/>
                <w:lang w:val="en-US"/>
              </w:rPr>
              <w:t xml:space="preserve"> in case of</w:t>
            </w:r>
            <w:r>
              <w:rPr>
                <w:rFonts w:ascii="Times New Roman" w:hAnsi="Times New Roman" w:cs="Times New Roman"/>
                <w:b/>
                <w:bCs/>
                <w:iCs/>
                <w:sz w:val="24"/>
                <w:szCs w:val="24"/>
                <w:lang w:val="en-US"/>
              </w:rPr>
              <w:t xml:space="preserve"> default</w:t>
            </w:r>
            <w:r w:rsidRPr="00CC3507">
              <w:rPr>
                <w:rFonts w:ascii="Times New Roman" w:hAnsi="Times New Roman" w:cs="Times New Roman"/>
                <w:b/>
                <w:bCs/>
                <w:iCs/>
                <w:sz w:val="24"/>
                <w:szCs w:val="24"/>
                <w:lang w:val="en-US"/>
              </w:rPr>
              <w:t xml:space="preserve">  </w:t>
            </w:r>
          </w:p>
        </w:tc>
      </w:tr>
      <w:tr w:rsidR="00371CC9" w:rsidRPr="009F55B7" w:rsidTr="00371CC9">
        <w:tc>
          <w:tcPr>
            <w:tcW w:w="959" w:type="dxa"/>
          </w:tcPr>
          <w:p w:rsidR="00371CC9" w:rsidRPr="00CC3507" w:rsidRDefault="00371CC9" w:rsidP="00371CC9">
            <w:pPr>
              <w:spacing w:after="0" w:line="240" w:lineRule="auto"/>
              <w:jc w:val="both"/>
              <w:rPr>
                <w:rFonts w:ascii="Times New Roman" w:hAnsi="Times New Roman" w:cs="Times New Roman"/>
                <w:iCs/>
                <w:sz w:val="20"/>
                <w:szCs w:val="20"/>
                <w:lang w:val="en-US"/>
              </w:rPr>
            </w:pPr>
            <w:r w:rsidRPr="00CC3507">
              <w:rPr>
                <w:rFonts w:ascii="Times New Roman" w:hAnsi="Times New Roman" w:cs="Times New Roman"/>
                <w:b/>
                <w:bCs/>
                <w:iCs/>
                <w:sz w:val="20"/>
                <w:szCs w:val="20"/>
                <w:lang w:val="en-US"/>
              </w:rPr>
              <w:t>Y0, Y1, Y2</w:t>
            </w:r>
          </w:p>
        </w:tc>
        <w:tc>
          <w:tcPr>
            <w:tcW w:w="1276" w:type="dxa"/>
          </w:tcPr>
          <w:p w:rsidR="00371CC9" w:rsidRPr="00CC3507" w:rsidRDefault="00371CC9" w:rsidP="00371CC9">
            <w:pPr>
              <w:spacing w:after="0" w:line="240" w:lineRule="auto"/>
              <w:jc w:val="both"/>
              <w:rPr>
                <w:rFonts w:ascii="Times New Roman" w:hAnsi="Times New Roman" w:cs="Times New Roman"/>
                <w:iCs/>
                <w:sz w:val="20"/>
                <w:szCs w:val="20"/>
                <w:lang w:val="en-US"/>
              </w:rPr>
            </w:pPr>
            <w:r w:rsidRPr="00CC3507">
              <w:rPr>
                <w:rFonts w:ascii="Times New Roman" w:hAnsi="Times New Roman" w:cs="Times New Roman"/>
                <w:iCs/>
                <w:sz w:val="20"/>
                <w:szCs w:val="20"/>
                <w:lang w:val="en-US"/>
              </w:rPr>
              <w:t xml:space="preserve">Y0, Y1 – </w:t>
            </w:r>
            <w:r>
              <w:rPr>
                <w:rFonts w:ascii="Times New Roman" w:hAnsi="Times New Roman" w:cs="Times New Roman"/>
                <w:iCs/>
                <w:sz w:val="20"/>
                <w:szCs w:val="20"/>
                <w:lang w:val="en-US"/>
              </w:rPr>
              <w:t>off order book</w:t>
            </w:r>
          </w:p>
          <w:p w:rsidR="00371CC9" w:rsidRPr="00CC3507" w:rsidRDefault="00371CC9" w:rsidP="00371CC9">
            <w:pPr>
              <w:spacing w:after="0" w:line="240" w:lineRule="auto"/>
              <w:jc w:val="both"/>
              <w:rPr>
                <w:rFonts w:ascii="Times New Roman" w:hAnsi="Times New Roman" w:cs="Times New Roman"/>
                <w:iCs/>
                <w:sz w:val="20"/>
                <w:szCs w:val="20"/>
                <w:lang w:val="en-US"/>
              </w:rPr>
            </w:pPr>
            <w:r w:rsidRPr="00CC3507">
              <w:rPr>
                <w:rFonts w:ascii="Times New Roman" w:hAnsi="Times New Roman" w:cs="Times New Roman"/>
                <w:iCs/>
                <w:sz w:val="20"/>
                <w:szCs w:val="20"/>
                <w:lang w:val="en-US"/>
              </w:rPr>
              <w:t xml:space="preserve">Y2 – </w:t>
            </w:r>
            <w:r>
              <w:rPr>
                <w:rFonts w:ascii="Times New Roman" w:hAnsi="Times New Roman" w:cs="Times New Roman"/>
                <w:iCs/>
                <w:sz w:val="20"/>
                <w:szCs w:val="20"/>
                <w:lang w:val="en-US"/>
              </w:rPr>
              <w:t>order book</w:t>
            </w:r>
            <w:r w:rsidRPr="00CC3507">
              <w:rPr>
                <w:rFonts w:ascii="Times New Roman" w:hAnsi="Times New Roman" w:cs="Times New Roman"/>
                <w:iCs/>
                <w:sz w:val="20"/>
                <w:szCs w:val="20"/>
                <w:lang w:val="en-US"/>
              </w:rPr>
              <w:t xml:space="preserve"> or </w:t>
            </w:r>
            <w:r>
              <w:rPr>
                <w:rFonts w:ascii="Times New Roman" w:hAnsi="Times New Roman" w:cs="Times New Roman"/>
                <w:iCs/>
                <w:sz w:val="20"/>
                <w:szCs w:val="20"/>
                <w:lang w:val="en-US"/>
              </w:rPr>
              <w:t>off order book</w:t>
            </w:r>
          </w:p>
        </w:tc>
        <w:tc>
          <w:tcPr>
            <w:tcW w:w="1417" w:type="dxa"/>
          </w:tcPr>
          <w:p w:rsidR="00371CC9" w:rsidRPr="00CC3507" w:rsidRDefault="00371CC9" w:rsidP="00371CC9">
            <w:pPr>
              <w:spacing w:after="0" w:line="240" w:lineRule="auto"/>
              <w:jc w:val="both"/>
              <w:rPr>
                <w:rFonts w:ascii="Times New Roman" w:hAnsi="Times New Roman" w:cs="Times New Roman"/>
                <w:iCs/>
                <w:sz w:val="20"/>
                <w:szCs w:val="20"/>
                <w:lang w:val="en-US"/>
              </w:rPr>
            </w:pPr>
            <w:r>
              <w:rPr>
                <w:rFonts w:ascii="Times New Roman" w:hAnsi="Times New Roman" w:cs="Times New Roman"/>
                <w:iCs/>
                <w:sz w:val="20"/>
                <w:szCs w:val="20"/>
                <w:lang w:val="en-US"/>
              </w:rPr>
              <w:t>Buy</w:t>
            </w:r>
            <w:r w:rsidRPr="00CC3507">
              <w:rPr>
                <w:rFonts w:ascii="Times New Roman" w:hAnsi="Times New Roman" w:cs="Times New Roman"/>
                <w:iCs/>
                <w:sz w:val="20"/>
                <w:szCs w:val="20"/>
                <w:lang w:val="en-US"/>
              </w:rPr>
              <w:t xml:space="preserve"> / s</w:t>
            </w:r>
            <w:r>
              <w:rPr>
                <w:rFonts w:ascii="Times New Roman" w:hAnsi="Times New Roman" w:cs="Times New Roman"/>
                <w:iCs/>
                <w:sz w:val="20"/>
                <w:szCs w:val="20"/>
                <w:lang w:val="en-US"/>
              </w:rPr>
              <w:t>ell</w:t>
            </w:r>
            <w:r w:rsidRPr="00CC3507">
              <w:rPr>
                <w:rFonts w:ascii="Times New Roman" w:hAnsi="Times New Roman" w:cs="Times New Roman"/>
                <w:iCs/>
                <w:sz w:val="20"/>
                <w:szCs w:val="20"/>
                <w:lang w:val="en-US"/>
              </w:rPr>
              <w:t xml:space="preserve"> of shares and bonds</w:t>
            </w:r>
          </w:p>
        </w:tc>
        <w:tc>
          <w:tcPr>
            <w:tcW w:w="1276" w:type="dxa"/>
          </w:tcPr>
          <w:p w:rsidR="00371CC9" w:rsidRPr="00CC3507" w:rsidRDefault="00371CC9" w:rsidP="00371CC9">
            <w:pPr>
              <w:spacing w:after="0" w:line="240" w:lineRule="auto"/>
              <w:jc w:val="both"/>
              <w:rPr>
                <w:rFonts w:ascii="Times New Roman" w:hAnsi="Times New Roman" w:cs="Times New Roman"/>
                <w:iCs/>
                <w:sz w:val="20"/>
                <w:szCs w:val="20"/>
                <w:lang w:val="en-US"/>
              </w:rPr>
            </w:pPr>
            <w:r w:rsidRPr="00CC3507">
              <w:rPr>
                <w:rFonts w:ascii="Times New Roman" w:hAnsi="Times New Roman" w:cs="Times New Roman"/>
                <w:iCs/>
                <w:sz w:val="20"/>
                <w:szCs w:val="20"/>
                <w:lang w:val="en-US"/>
              </w:rPr>
              <w:t xml:space="preserve">N </w:t>
            </w:r>
            <w:r>
              <w:rPr>
                <w:rFonts w:ascii="Times New Roman" w:hAnsi="Times New Roman" w:cs="Times New Roman"/>
                <w:iCs/>
                <w:sz w:val="20"/>
                <w:szCs w:val="20"/>
                <w:lang w:val="en-US"/>
              </w:rPr>
              <w:t>settl</w:t>
            </w:r>
            <w:r w:rsidR="00D9530A">
              <w:rPr>
                <w:rFonts w:ascii="Times New Roman" w:hAnsi="Times New Roman" w:cs="Times New Roman"/>
                <w:iCs/>
                <w:sz w:val="20"/>
                <w:szCs w:val="20"/>
                <w:lang w:val="en-US"/>
              </w:rPr>
              <w:t>e</w:t>
            </w:r>
            <w:r>
              <w:rPr>
                <w:rFonts w:ascii="Times New Roman" w:hAnsi="Times New Roman" w:cs="Times New Roman"/>
                <w:iCs/>
                <w:sz w:val="20"/>
                <w:szCs w:val="20"/>
                <w:lang w:val="en-US"/>
              </w:rPr>
              <w:t>ment</w:t>
            </w:r>
            <w:r w:rsidRPr="00CC3507">
              <w:rPr>
                <w:rFonts w:ascii="Times New Roman" w:hAnsi="Times New Roman" w:cs="Times New Roman"/>
                <w:iCs/>
                <w:sz w:val="20"/>
                <w:szCs w:val="20"/>
                <w:lang w:val="en-US"/>
              </w:rPr>
              <w:t xml:space="preserve"> day after the Date of the conclusion of trade (n = 0, 1, 2)</w:t>
            </w:r>
          </w:p>
        </w:tc>
        <w:tc>
          <w:tcPr>
            <w:tcW w:w="1559" w:type="dxa"/>
          </w:tcPr>
          <w:p w:rsidR="00371CC9" w:rsidRPr="00CC3507" w:rsidRDefault="00371CC9" w:rsidP="00371CC9">
            <w:pPr>
              <w:spacing w:after="0" w:line="240" w:lineRule="auto"/>
              <w:jc w:val="both"/>
              <w:rPr>
                <w:rFonts w:ascii="Times New Roman" w:hAnsi="Times New Roman" w:cs="Times New Roman"/>
                <w:iCs/>
                <w:sz w:val="20"/>
                <w:szCs w:val="20"/>
                <w:lang w:val="en-US"/>
              </w:rPr>
            </w:pPr>
            <w:r w:rsidRPr="00CC3507">
              <w:rPr>
                <w:rFonts w:ascii="Times New Roman" w:hAnsi="Times New Roman" w:cs="Times New Roman"/>
                <w:iCs/>
                <w:sz w:val="20"/>
                <w:szCs w:val="20"/>
                <w:lang w:val="en-US"/>
              </w:rPr>
              <w:t xml:space="preserve">With central counterparty, with the use of netting </w:t>
            </w:r>
          </w:p>
        </w:tc>
        <w:tc>
          <w:tcPr>
            <w:tcW w:w="1594" w:type="dxa"/>
          </w:tcPr>
          <w:p w:rsidR="00371CC9" w:rsidRPr="00CC3507" w:rsidRDefault="00371CC9" w:rsidP="00371CC9">
            <w:pPr>
              <w:spacing w:after="0" w:line="240" w:lineRule="auto"/>
              <w:jc w:val="both"/>
              <w:rPr>
                <w:rFonts w:ascii="Times New Roman" w:hAnsi="Times New Roman" w:cs="Times New Roman"/>
                <w:iCs/>
                <w:sz w:val="20"/>
                <w:szCs w:val="20"/>
                <w:lang w:val="en-US"/>
              </w:rPr>
            </w:pPr>
            <w:r w:rsidRPr="00CC3507">
              <w:rPr>
                <w:rFonts w:ascii="Times New Roman" w:hAnsi="Times New Roman" w:cs="Times New Roman"/>
                <w:iCs/>
                <w:sz w:val="20"/>
                <w:szCs w:val="20"/>
                <w:lang w:val="en-US"/>
              </w:rPr>
              <w:t>Automatically in clearing pool (together with REPO trades, with CCP at 17:00-17:30)</w:t>
            </w:r>
          </w:p>
        </w:tc>
        <w:tc>
          <w:tcPr>
            <w:tcW w:w="1701" w:type="dxa"/>
          </w:tcPr>
          <w:p w:rsidR="00371CC9" w:rsidRPr="00CC3507" w:rsidRDefault="00371CC9" w:rsidP="00371CC9">
            <w:pPr>
              <w:spacing w:after="0" w:line="240" w:lineRule="auto"/>
              <w:jc w:val="both"/>
              <w:rPr>
                <w:rFonts w:ascii="Times New Roman" w:hAnsi="Times New Roman" w:cs="Times New Roman"/>
                <w:iCs/>
                <w:sz w:val="20"/>
                <w:szCs w:val="20"/>
                <w:lang w:val="en-US"/>
              </w:rPr>
            </w:pPr>
            <w:r w:rsidRPr="00CC3507">
              <w:rPr>
                <w:rFonts w:ascii="Times New Roman" w:hAnsi="Times New Roman" w:cs="Times New Roman"/>
                <w:iCs/>
                <w:sz w:val="20"/>
                <w:szCs w:val="20"/>
                <w:lang w:val="en-US"/>
              </w:rPr>
              <w:t xml:space="preserve">Transfer </w:t>
            </w:r>
            <w:r>
              <w:rPr>
                <w:rFonts w:ascii="Times New Roman" w:hAnsi="Times New Roman" w:cs="Times New Roman"/>
                <w:iCs/>
                <w:sz w:val="20"/>
                <w:szCs w:val="20"/>
                <w:lang w:val="en-US"/>
              </w:rPr>
              <w:t>to</w:t>
            </w:r>
            <w:r w:rsidRPr="00CC3507">
              <w:rPr>
                <w:rFonts w:ascii="Times New Roman" w:hAnsi="Times New Roman" w:cs="Times New Roman"/>
                <w:iCs/>
                <w:sz w:val="20"/>
                <w:szCs w:val="20"/>
                <w:lang w:val="en-US"/>
              </w:rPr>
              <w:t xml:space="preserve"> the next </w:t>
            </w:r>
            <w:r>
              <w:rPr>
                <w:rFonts w:ascii="Times New Roman" w:hAnsi="Times New Roman" w:cs="Times New Roman"/>
                <w:iCs/>
                <w:sz w:val="20"/>
                <w:szCs w:val="20"/>
                <w:lang w:val="en-US"/>
              </w:rPr>
              <w:t>settl</w:t>
            </w:r>
            <w:r w:rsidR="00D9530A">
              <w:rPr>
                <w:rFonts w:ascii="Times New Roman" w:hAnsi="Times New Roman" w:cs="Times New Roman"/>
                <w:iCs/>
                <w:sz w:val="20"/>
                <w:szCs w:val="20"/>
                <w:lang w:val="en-US"/>
              </w:rPr>
              <w:t>e</w:t>
            </w:r>
            <w:r>
              <w:rPr>
                <w:rFonts w:ascii="Times New Roman" w:hAnsi="Times New Roman" w:cs="Times New Roman"/>
                <w:iCs/>
                <w:sz w:val="20"/>
                <w:szCs w:val="20"/>
                <w:lang w:val="en-US"/>
              </w:rPr>
              <w:t>ment</w:t>
            </w:r>
            <w:r w:rsidRPr="00CC3507">
              <w:rPr>
                <w:rFonts w:ascii="Times New Roman" w:hAnsi="Times New Roman" w:cs="Times New Roman"/>
                <w:iCs/>
                <w:sz w:val="20"/>
                <w:szCs w:val="20"/>
                <w:lang w:val="en-US"/>
              </w:rPr>
              <w:t xml:space="preserve"> day of the execution of obligations by REPO trades with CCP, or with two buy-sell trades </w:t>
            </w:r>
          </w:p>
        </w:tc>
      </w:tr>
    </w:tbl>
    <w:p w:rsidR="00371CC9" w:rsidRPr="00CC3507" w:rsidRDefault="00371CC9" w:rsidP="00371CC9">
      <w:pPr>
        <w:tabs>
          <w:tab w:val="left" w:pos="8722"/>
        </w:tabs>
        <w:spacing w:after="120" w:line="240" w:lineRule="auto"/>
        <w:ind w:left="360" w:firstLine="567"/>
        <w:jc w:val="both"/>
        <w:rPr>
          <w:rFonts w:ascii="Times New Roman" w:hAnsi="Times New Roman" w:cs="Times New Roman"/>
          <w:sz w:val="24"/>
          <w:szCs w:val="24"/>
          <w:lang w:val="en-US"/>
        </w:rPr>
      </w:pPr>
    </w:p>
    <w:p w:rsidR="00371CC9" w:rsidRPr="00CC3507" w:rsidRDefault="00371CC9" w:rsidP="00371CC9">
      <w:pPr>
        <w:numPr>
          <w:ilvl w:val="0"/>
          <w:numId w:val="21"/>
        </w:numPr>
        <w:spacing w:after="120" w:line="240" w:lineRule="auto"/>
        <w:ind w:left="426" w:firstLine="567"/>
        <w:jc w:val="both"/>
        <w:rPr>
          <w:rFonts w:ascii="Times New Roman" w:hAnsi="Times New Roman" w:cs="Times New Roman"/>
          <w:sz w:val="24"/>
          <w:szCs w:val="24"/>
          <w:lang w:val="en-US"/>
        </w:rPr>
      </w:pPr>
      <w:r w:rsidRPr="00CC3507">
        <w:rPr>
          <w:rFonts w:ascii="Times New Roman" w:hAnsi="Times New Roman" w:cs="Times New Roman"/>
          <w:sz w:val="24"/>
          <w:szCs w:val="24"/>
          <w:lang w:val="en-US"/>
        </w:rPr>
        <w:t xml:space="preserve">Clearing on REPO trades with the central counterparty with </w:t>
      </w:r>
      <w:r w:rsidR="004C7F96">
        <w:rPr>
          <w:rFonts w:ascii="Times New Roman" w:hAnsi="Times New Roman" w:cs="Times New Roman"/>
          <w:sz w:val="24"/>
          <w:szCs w:val="24"/>
          <w:lang w:val="en-US"/>
        </w:rPr>
        <w:t xml:space="preserve">the </w:t>
      </w:r>
      <w:r w:rsidRPr="00CC3507">
        <w:rPr>
          <w:rFonts w:ascii="Times New Roman" w:hAnsi="Times New Roman" w:cs="Times New Roman"/>
          <w:sz w:val="24"/>
          <w:szCs w:val="24"/>
          <w:lang w:val="en-US"/>
        </w:rPr>
        <w:t xml:space="preserve">full or partial (possible only for the part 1 of REPO) initial collateral: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4157"/>
        <w:gridCol w:w="4467"/>
      </w:tblGrid>
      <w:tr w:rsidR="00371CC9" w:rsidRPr="009F55B7" w:rsidTr="00371CC9">
        <w:tc>
          <w:tcPr>
            <w:tcW w:w="959" w:type="dxa"/>
          </w:tcPr>
          <w:p w:rsidR="00371CC9" w:rsidRPr="00CC3507" w:rsidRDefault="00371CC9" w:rsidP="00371CC9">
            <w:pPr>
              <w:spacing w:after="0" w:line="240" w:lineRule="auto"/>
              <w:jc w:val="both"/>
              <w:rPr>
                <w:rFonts w:ascii="Times New Roman" w:hAnsi="Times New Roman" w:cs="Times New Roman"/>
                <w:iCs/>
                <w:sz w:val="24"/>
                <w:szCs w:val="24"/>
                <w:lang w:val="en-US"/>
              </w:rPr>
            </w:pPr>
            <w:r w:rsidRPr="00CC3507">
              <w:rPr>
                <w:rFonts w:ascii="Times New Roman" w:hAnsi="Times New Roman" w:cs="Times New Roman"/>
                <w:b/>
                <w:bCs/>
                <w:iCs/>
                <w:sz w:val="24"/>
                <w:szCs w:val="24"/>
                <w:lang w:val="en-US"/>
              </w:rPr>
              <w:t>REPO codes</w:t>
            </w:r>
          </w:p>
        </w:tc>
        <w:tc>
          <w:tcPr>
            <w:tcW w:w="4678" w:type="dxa"/>
          </w:tcPr>
          <w:p w:rsidR="00371CC9" w:rsidRPr="00CC3507" w:rsidRDefault="00371CC9" w:rsidP="00371CC9">
            <w:pPr>
              <w:spacing w:after="0" w:line="240" w:lineRule="auto"/>
              <w:jc w:val="both"/>
              <w:rPr>
                <w:rFonts w:ascii="Times New Roman" w:hAnsi="Times New Roman" w:cs="Times New Roman"/>
                <w:iCs/>
                <w:sz w:val="24"/>
                <w:szCs w:val="24"/>
                <w:lang w:val="en-US"/>
              </w:rPr>
            </w:pPr>
            <w:r w:rsidRPr="00CC3507">
              <w:rPr>
                <w:rFonts w:ascii="Times New Roman" w:hAnsi="Times New Roman" w:cs="Times New Roman"/>
                <w:b/>
                <w:bCs/>
                <w:iCs/>
                <w:sz w:val="24"/>
                <w:szCs w:val="24"/>
                <w:lang w:val="en-US"/>
              </w:rPr>
              <w:t xml:space="preserve">Settlement </w:t>
            </w:r>
            <w:r>
              <w:rPr>
                <w:rFonts w:ascii="Times New Roman" w:hAnsi="Times New Roman" w:cs="Times New Roman"/>
                <w:b/>
                <w:bCs/>
                <w:iCs/>
                <w:sz w:val="24"/>
                <w:szCs w:val="24"/>
                <w:lang w:val="en-US"/>
              </w:rPr>
              <w:t xml:space="preserve">  specifics </w:t>
            </w:r>
            <w:r w:rsidRPr="00CC3507">
              <w:rPr>
                <w:rFonts w:ascii="Times New Roman" w:hAnsi="Times New Roman" w:cs="Times New Roman"/>
                <w:b/>
                <w:bCs/>
                <w:iCs/>
                <w:sz w:val="24"/>
                <w:szCs w:val="24"/>
                <w:lang w:val="en-US"/>
              </w:rPr>
              <w:t xml:space="preserve"> for part 1 of REPO </w:t>
            </w:r>
          </w:p>
        </w:tc>
        <w:tc>
          <w:tcPr>
            <w:tcW w:w="5045" w:type="dxa"/>
          </w:tcPr>
          <w:p w:rsidR="00371CC9" w:rsidRPr="00CC3507" w:rsidRDefault="00371CC9" w:rsidP="00371CC9">
            <w:pPr>
              <w:spacing w:after="0" w:line="240" w:lineRule="auto"/>
              <w:jc w:val="both"/>
              <w:rPr>
                <w:rFonts w:ascii="Times New Roman" w:hAnsi="Times New Roman" w:cs="Times New Roman"/>
                <w:iCs/>
                <w:sz w:val="24"/>
                <w:szCs w:val="24"/>
                <w:lang w:val="en-US"/>
              </w:rPr>
            </w:pPr>
            <w:r w:rsidRPr="00CC3507">
              <w:rPr>
                <w:rFonts w:ascii="Times New Roman" w:hAnsi="Times New Roman" w:cs="Times New Roman"/>
                <w:b/>
                <w:bCs/>
                <w:iCs/>
                <w:sz w:val="24"/>
                <w:szCs w:val="24"/>
                <w:lang w:val="en-US"/>
              </w:rPr>
              <w:t xml:space="preserve">Settlement </w:t>
            </w:r>
            <w:r>
              <w:rPr>
                <w:rFonts w:ascii="Times New Roman" w:hAnsi="Times New Roman" w:cs="Times New Roman"/>
                <w:b/>
                <w:bCs/>
                <w:iCs/>
                <w:sz w:val="24"/>
                <w:szCs w:val="24"/>
                <w:lang w:val="en-US"/>
              </w:rPr>
              <w:t>specifics</w:t>
            </w:r>
            <w:r w:rsidRPr="00CC3507">
              <w:rPr>
                <w:rFonts w:ascii="Times New Roman" w:hAnsi="Times New Roman" w:cs="Times New Roman"/>
                <w:b/>
                <w:bCs/>
                <w:iCs/>
                <w:sz w:val="24"/>
                <w:szCs w:val="24"/>
                <w:lang w:val="en-US"/>
              </w:rPr>
              <w:t xml:space="preserve"> for part 2 of REPO</w:t>
            </w:r>
          </w:p>
        </w:tc>
      </w:tr>
      <w:tr w:rsidR="00371CC9" w:rsidRPr="009F55B7" w:rsidTr="00371CC9">
        <w:tc>
          <w:tcPr>
            <w:tcW w:w="959" w:type="dxa"/>
          </w:tcPr>
          <w:p w:rsidR="00371CC9" w:rsidRPr="00CC3507" w:rsidRDefault="00371CC9" w:rsidP="00371CC9">
            <w:pPr>
              <w:spacing w:after="0" w:line="240" w:lineRule="auto"/>
              <w:jc w:val="both"/>
              <w:rPr>
                <w:rFonts w:ascii="Times New Roman" w:hAnsi="Times New Roman" w:cs="Times New Roman"/>
                <w:iCs/>
                <w:sz w:val="24"/>
                <w:szCs w:val="24"/>
                <w:lang w:val="en-US"/>
              </w:rPr>
            </w:pPr>
            <w:r w:rsidRPr="00CC3507">
              <w:rPr>
                <w:rFonts w:ascii="Times New Roman" w:hAnsi="Times New Roman" w:cs="Times New Roman"/>
                <w:b/>
                <w:bCs/>
                <w:iCs/>
                <w:sz w:val="24"/>
                <w:szCs w:val="24"/>
                <w:lang w:val="en-US"/>
              </w:rPr>
              <w:t>Y0/Y1</w:t>
            </w:r>
          </w:p>
        </w:tc>
        <w:tc>
          <w:tcPr>
            <w:tcW w:w="4678" w:type="dxa"/>
          </w:tcPr>
          <w:p w:rsidR="00371CC9" w:rsidRPr="00CC3507" w:rsidRDefault="00371CC9" w:rsidP="00371CC9">
            <w:pPr>
              <w:spacing w:after="0" w:line="240" w:lineRule="auto"/>
              <w:jc w:val="both"/>
              <w:rPr>
                <w:rFonts w:ascii="Times New Roman" w:hAnsi="Times New Roman" w:cs="Times New Roman"/>
                <w:iCs/>
                <w:sz w:val="24"/>
                <w:szCs w:val="24"/>
                <w:lang w:val="en-US"/>
              </w:rPr>
            </w:pPr>
            <w:r w:rsidRPr="00CC3507">
              <w:rPr>
                <w:rFonts w:ascii="Times New Roman" w:hAnsi="Times New Roman" w:cs="Times New Roman"/>
                <w:iCs/>
                <w:sz w:val="24"/>
                <w:szCs w:val="24"/>
                <w:lang w:val="en-US"/>
              </w:rPr>
              <w:t>assets supply at 17:00 of the day T</w:t>
            </w:r>
          </w:p>
        </w:tc>
        <w:tc>
          <w:tcPr>
            <w:tcW w:w="5045" w:type="dxa"/>
          </w:tcPr>
          <w:p w:rsidR="00371CC9" w:rsidRPr="00CC3507" w:rsidRDefault="00371CC9" w:rsidP="00371CC9">
            <w:pPr>
              <w:spacing w:after="0" w:line="240" w:lineRule="auto"/>
              <w:jc w:val="both"/>
              <w:rPr>
                <w:rFonts w:ascii="Times New Roman" w:hAnsi="Times New Roman" w:cs="Times New Roman"/>
                <w:iCs/>
                <w:sz w:val="24"/>
                <w:szCs w:val="24"/>
                <w:lang w:val="en-US"/>
              </w:rPr>
            </w:pPr>
            <w:r w:rsidRPr="00CC3507">
              <w:rPr>
                <w:rFonts w:ascii="Times New Roman" w:hAnsi="Times New Roman" w:cs="Times New Roman"/>
                <w:iCs/>
                <w:sz w:val="24"/>
                <w:szCs w:val="24"/>
                <w:lang w:val="en-US"/>
              </w:rPr>
              <w:t>assets supply at 17:00 of the day T</w:t>
            </w:r>
            <w:r w:rsidRPr="00CC3507">
              <w:rPr>
                <w:rFonts w:ascii="Times New Roman" w:hAnsi="Times New Roman" w:cs="Times New Roman"/>
                <w:iCs/>
                <w:sz w:val="24"/>
                <w:szCs w:val="24"/>
                <w:vertAlign w:val="superscript"/>
                <w:lang w:val="en-US"/>
              </w:rPr>
              <w:footnoteReference w:id="3"/>
            </w:r>
            <w:r w:rsidRPr="00CC3507">
              <w:rPr>
                <w:rFonts w:ascii="Times New Roman" w:hAnsi="Times New Roman" w:cs="Times New Roman"/>
                <w:iCs/>
                <w:sz w:val="24"/>
                <w:szCs w:val="24"/>
                <w:lang w:val="en-US"/>
              </w:rPr>
              <w:t>+1</w:t>
            </w:r>
          </w:p>
        </w:tc>
      </w:tr>
      <w:tr w:rsidR="00371CC9" w:rsidRPr="009F55B7" w:rsidTr="00371CC9">
        <w:tc>
          <w:tcPr>
            <w:tcW w:w="959" w:type="dxa"/>
          </w:tcPr>
          <w:p w:rsidR="00371CC9" w:rsidRPr="00CC3507" w:rsidRDefault="00371CC9" w:rsidP="00371CC9">
            <w:pPr>
              <w:spacing w:after="0" w:line="240" w:lineRule="auto"/>
              <w:jc w:val="both"/>
              <w:rPr>
                <w:rFonts w:ascii="Times New Roman" w:hAnsi="Times New Roman" w:cs="Times New Roman"/>
                <w:iCs/>
                <w:sz w:val="24"/>
                <w:szCs w:val="24"/>
                <w:lang w:val="en-US"/>
              </w:rPr>
            </w:pPr>
            <w:r w:rsidRPr="00CC3507">
              <w:rPr>
                <w:rFonts w:ascii="Times New Roman" w:hAnsi="Times New Roman" w:cs="Times New Roman"/>
                <w:b/>
                <w:bCs/>
                <w:iCs/>
                <w:sz w:val="24"/>
                <w:szCs w:val="24"/>
                <w:lang w:val="en-US"/>
              </w:rPr>
              <w:t>T0/Y1</w:t>
            </w:r>
          </w:p>
        </w:tc>
        <w:tc>
          <w:tcPr>
            <w:tcW w:w="4678" w:type="dxa"/>
          </w:tcPr>
          <w:p w:rsidR="00371CC9" w:rsidRPr="00CC3507" w:rsidRDefault="00371CC9" w:rsidP="00371CC9">
            <w:pPr>
              <w:spacing w:after="0" w:line="240" w:lineRule="auto"/>
              <w:jc w:val="both"/>
              <w:rPr>
                <w:rFonts w:ascii="Times New Roman" w:hAnsi="Times New Roman" w:cs="Times New Roman"/>
                <w:iCs/>
                <w:sz w:val="24"/>
                <w:szCs w:val="24"/>
                <w:lang w:val="en-US"/>
              </w:rPr>
            </w:pPr>
            <w:r w:rsidRPr="00CC3507">
              <w:rPr>
                <w:rFonts w:ascii="Times New Roman" w:hAnsi="Times New Roman" w:cs="Times New Roman"/>
                <w:iCs/>
                <w:sz w:val="24"/>
                <w:szCs w:val="24"/>
                <w:lang w:val="en-US"/>
              </w:rPr>
              <w:t>immediate assets supply</w:t>
            </w:r>
          </w:p>
        </w:tc>
        <w:tc>
          <w:tcPr>
            <w:tcW w:w="5045" w:type="dxa"/>
          </w:tcPr>
          <w:p w:rsidR="00371CC9" w:rsidRPr="00CC3507" w:rsidRDefault="00371CC9" w:rsidP="00371CC9">
            <w:pPr>
              <w:spacing w:after="0" w:line="240" w:lineRule="auto"/>
              <w:jc w:val="both"/>
              <w:rPr>
                <w:rFonts w:ascii="Times New Roman" w:hAnsi="Times New Roman" w:cs="Times New Roman"/>
                <w:iCs/>
                <w:sz w:val="24"/>
                <w:szCs w:val="24"/>
                <w:lang w:val="en-US"/>
              </w:rPr>
            </w:pPr>
            <w:r w:rsidRPr="00CC3507">
              <w:rPr>
                <w:rFonts w:ascii="Times New Roman" w:hAnsi="Times New Roman" w:cs="Times New Roman"/>
                <w:iCs/>
                <w:sz w:val="24"/>
                <w:szCs w:val="24"/>
                <w:lang w:val="en-US"/>
              </w:rPr>
              <w:t>assets supply at 17:00 of the day T+1</w:t>
            </w:r>
          </w:p>
        </w:tc>
      </w:tr>
      <w:tr w:rsidR="00371CC9" w:rsidRPr="009F55B7" w:rsidTr="00371CC9">
        <w:tc>
          <w:tcPr>
            <w:tcW w:w="959" w:type="dxa"/>
          </w:tcPr>
          <w:p w:rsidR="00371CC9" w:rsidRPr="00CC3507" w:rsidRDefault="00371CC9" w:rsidP="00371CC9">
            <w:pPr>
              <w:spacing w:after="0" w:line="240" w:lineRule="auto"/>
              <w:jc w:val="both"/>
              <w:rPr>
                <w:rFonts w:ascii="Times New Roman" w:hAnsi="Times New Roman" w:cs="Times New Roman"/>
                <w:iCs/>
                <w:sz w:val="24"/>
                <w:szCs w:val="24"/>
                <w:lang w:val="en-US"/>
              </w:rPr>
            </w:pPr>
            <w:r w:rsidRPr="00CC3507">
              <w:rPr>
                <w:rFonts w:ascii="Times New Roman" w:hAnsi="Times New Roman" w:cs="Times New Roman"/>
                <w:b/>
                <w:bCs/>
                <w:iCs/>
                <w:sz w:val="24"/>
                <w:szCs w:val="24"/>
                <w:lang w:val="en-US"/>
              </w:rPr>
              <w:t>T0/Y2</w:t>
            </w:r>
          </w:p>
        </w:tc>
        <w:tc>
          <w:tcPr>
            <w:tcW w:w="4678" w:type="dxa"/>
          </w:tcPr>
          <w:p w:rsidR="00371CC9" w:rsidRPr="00CC3507" w:rsidRDefault="00371CC9" w:rsidP="00371CC9">
            <w:pPr>
              <w:spacing w:after="0" w:line="240" w:lineRule="auto"/>
              <w:jc w:val="both"/>
              <w:rPr>
                <w:rFonts w:ascii="Times New Roman" w:hAnsi="Times New Roman" w:cs="Times New Roman"/>
                <w:iCs/>
                <w:sz w:val="24"/>
                <w:szCs w:val="24"/>
                <w:lang w:val="en-US"/>
              </w:rPr>
            </w:pPr>
            <w:r w:rsidRPr="00CC3507">
              <w:rPr>
                <w:rFonts w:ascii="Times New Roman" w:hAnsi="Times New Roman" w:cs="Times New Roman"/>
                <w:iCs/>
                <w:sz w:val="24"/>
                <w:szCs w:val="24"/>
                <w:lang w:val="en-US"/>
              </w:rPr>
              <w:t>immediate assets supply</w:t>
            </w:r>
          </w:p>
        </w:tc>
        <w:tc>
          <w:tcPr>
            <w:tcW w:w="5045" w:type="dxa"/>
          </w:tcPr>
          <w:p w:rsidR="00371CC9" w:rsidRPr="00CC3507" w:rsidRDefault="00371CC9" w:rsidP="00371CC9">
            <w:pPr>
              <w:spacing w:after="0" w:line="240" w:lineRule="auto"/>
              <w:jc w:val="both"/>
              <w:rPr>
                <w:rFonts w:ascii="Times New Roman" w:hAnsi="Times New Roman" w:cs="Times New Roman"/>
                <w:iCs/>
                <w:sz w:val="24"/>
                <w:szCs w:val="24"/>
                <w:lang w:val="en-US"/>
              </w:rPr>
            </w:pPr>
            <w:r w:rsidRPr="00CC3507">
              <w:rPr>
                <w:rFonts w:ascii="Times New Roman" w:hAnsi="Times New Roman" w:cs="Times New Roman"/>
                <w:iCs/>
                <w:sz w:val="24"/>
                <w:szCs w:val="24"/>
                <w:lang w:val="en-US"/>
              </w:rPr>
              <w:t>assets supply at 17:00 of the day T+2</w:t>
            </w:r>
          </w:p>
        </w:tc>
      </w:tr>
      <w:tr w:rsidR="00371CC9" w:rsidRPr="009F55B7" w:rsidTr="00371CC9">
        <w:tc>
          <w:tcPr>
            <w:tcW w:w="959" w:type="dxa"/>
          </w:tcPr>
          <w:p w:rsidR="00371CC9" w:rsidRPr="00CC3507" w:rsidRDefault="00371CC9" w:rsidP="00371CC9">
            <w:pPr>
              <w:spacing w:after="0" w:line="240" w:lineRule="auto"/>
              <w:jc w:val="both"/>
              <w:rPr>
                <w:rFonts w:ascii="Times New Roman" w:hAnsi="Times New Roman" w:cs="Times New Roman"/>
                <w:iCs/>
                <w:sz w:val="24"/>
                <w:szCs w:val="24"/>
                <w:lang w:val="en-US"/>
              </w:rPr>
            </w:pPr>
            <w:r w:rsidRPr="00CC3507">
              <w:rPr>
                <w:rFonts w:ascii="Times New Roman" w:hAnsi="Times New Roman" w:cs="Times New Roman"/>
                <w:b/>
                <w:bCs/>
                <w:iCs/>
                <w:sz w:val="24"/>
                <w:szCs w:val="24"/>
                <w:lang w:val="en-US"/>
              </w:rPr>
              <w:t>Y1/Y2</w:t>
            </w:r>
          </w:p>
        </w:tc>
        <w:tc>
          <w:tcPr>
            <w:tcW w:w="4678" w:type="dxa"/>
          </w:tcPr>
          <w:p w:rsidR="00371CC9" w:rsidRPr="00CC3507" w:rsidRDefault="00371CC9" w:rsidP="00371CC9">
            <w:pPr>
              <w:spacing w:after="0" w:line="240" w:lineRule="auto"/>
              <w:jc w:val="both"/>
              <w:rPr>
                <w:rFonts w:ascii="Times New Roman" w:hAnsi="Times New Roman" w:cs="Times New Roman"/>
                <w:iCs/>
                <w:sz w:val="24"/>
                <w:szCs w:val="24"/>
                <w:lang w:val="en-US"/>
              </w:rPr>
            </w:pPr>
            <w:r w:rsidRPr="00CC3507">
              <w:rPr>
                <w:rFonts w:ascii="Times New Roman" w:hAnsi="Times New Roman" w:cs="Times New Roman"/>
                <w:iCs/>
                <w:sz w:val="24"/>
                <w:szCs w:val="24"/>
                <w:lang w:val="en-US"/>
              </w:rPr>
              <w:t>assets supply at 17:00 of the day T+1</w:t>
            </w:r>
          </w:p>
        </w:tc>
        <w:tc>
          <w:tcPr>
            <w:tcW w:w="5045" w:type="dxa"/>
          </w:tcPr>
          <w:p w:rsidR="00371CC9" w:rsidRPr="00CC3507" w:rsidRDefault="00371CC9" w:rsidP="00371CC9">
            <w:pPr>
              <w:spacing w:after="0" w:line="240" w:lineRule="auto"/>
              <w:jc w:val="both"/>
              <w:rPr>
                <w:rFonts w:ascii="Times New Roman" w:hAnsi="Times New Roman" w:cs="Times New Roman"/>
                <w:iCs/>
                <w:sz w:val="24"/>
                <w:szCs w:val="24"/>
                <w:lang w:val="en-US"/>
              </w:rPr>
            </w:pPr>
            <w:r w:rsidRPr="00CC3507">
              <w:rPr>
                <w:rFonts w:ascii="Times New Roman" w:hAnsi="Times New Roman" w:cs="Times New Roman"/>
                <w:iCs/>
                <w:sz w:val="24"/>
                <w:szCs w:val="24"/>
                <w:lang w:val="en-US"/>
              </w:rPr>
              <w:t>assets supply at 17:00 of the day T+2</w:t>
            </w:r>
          </w:p>
        </w:tc>
      </w:tr>
      <w:tr w:rsidR="00371CC9" w:rsidRPr="009F55B7" w:rsidTr="00371CC9">
        <w:tc>
          <w:tcPr>
            <w:tcW w:w="959" w:type="dxa"/>
          </w:tcPr>
          <w:p w:rsidR="00371CC9" w:rsidRPr="00CC3507" w:rsidRDefault="00371CC9" w:rsidP="00371CC9">
            <w:pPr>
              <w:spacing w:after="0" w:line="240" w:lineRule="auto"/>
              <w:jc w:val="both"/>
              <w:rPr>
                <w:rFonts w:ascii="Times New Roman" w:hAnsi="Times New Roman" w:cs="Times New Roman"/>
                <w:iCs/>
                <w:sz w:val="24"/>
                <w:szCs w:val="24"/>
                <w:lang w:val="en-US"/>
              </w:rPr>
            </w:pPr>
            <w:r w:rsidRPr="00CC3507">
              <w:rPr>
                <w:rFonts w:ascii="Times New Roman" w:hAnsi="Times New Roman" w:cs="Times New Roman"/>
                <w:b/>
                <w:bCs/>
                <w:iCs/>
                <w:sz w:val="24"/>
                <w:szCs w:val="24"/>
                <w:lang w:val="en-US"/>
              </w:rPr>
              <w:t>Y0/Y2</w:t>
            </w:r>
          </w:p>
        </w:tc>
        <w:tc>
          <w:tcPr>
            <w:tcW w:w="4678" w:type="dxa"/>
          </w:tcPr>
          <w:p w:rsidR="00371CC9" w:rsidRPr="00CC3507" w:rsidRDefault="00371CC9" w:rsidP="00371CC9">
            <w:pPr>
              <w:spacing w:after="0" w:line="240" w:lineRule="auto"/>
              <w:jc w:val="both"/>
              <w:rPr>
                <w:rFonts w:ascii="Times New Roman" w:hAnsi="Times New Roman" w:cs="Times New Roman"/>
                <w:iCs/>
                <w:sz w:val="24"/>
                <w:szCs w:val="24"/>
                <w:lang w:val="en-US"/>
              </w:rPr>
            </w:pPr>
            <w:r w:rsidRPr="00CC3507">
              <w:rPr>
                <w:rFonts w:ascii="Times New Roman" w:hAnsi="Times New Roman" w:cs="Times New Roman"/>
                <w:iCs/>
                <w:sz w:val="24"/>
                <w:szCs w:val="24"/>
                <w:lang w:val="en-US"/>
              </w:rPr>
              <w:t>assets supply at 17:00 of the day T</w:t>
            </w:r>
          </w:p>
        </w:tc>
        <w:tc>
          <w:tcPr>
            <w:tcW w:w="5045" w:type="dxa"/>
          </w:tcPr>
          <w:p w:rsidR="00371CC9" w:rsidRPr="00CC3507" w:rsidRDefault="00371CC9" w:rsidP="00371CC9">
            <w:pPr>
              <w:spacing w:after="0" w:line="240" w:lineRule="auto"/>
              <w:jc w:val="both"/>
              <w:rPr>
                <w:rFonts w:ascii="Times New Roman" w:hAnsi="Times New Roman" w:cs="Times New Roman"/>
                <w:iCs/>
                <w:sz w:val="24"/>
                <w:szCs w:val="24"/>
                <w:lang w:val="en-US"/>
              </w:rPr>
            </w:pPr>
            <w:r w:rsidRPr="00CC3507">
              <w:rPr>
                <w:rFonts w:ascii="Times New Roman" w:hAnsi="Times New Roman" w:cs="Times New Roman"/>
                <w:iCs/>
                <w:sz w:val="24"/>
                <w:szCs w:val="24"/>
                <w:lang w:val="en-US"/>
              </w:rPr>
              <w:t>assets supply at 17:00 of the day T+2</w:t>
            </w:r>
          </w:p>
        </w:tc>
      </w:tr>
    </w:tbl>
    <w:p w:rsidR="00371CC9" w:rsidRPr="00CC3507" w:rsidRDefault="00371CC9" w:rsidP="00371CC9">
      <w:pPr>
        <w:spacing w:after="120" w:line="240" w:lineRule="auto"/>
        <w:ind w:firstLine="567"/>
        <w:jc w:val="both"/>
        <w:rPr>
          <w:rFonts w:ascii="Times New Roman" w:hAnsi="Times New Roman" w:cs="Times New Roman"/>
          <w:sz w:val="24"/>
          <w:szCs w:val="24"/>
          <w:lang w:val="en-US"/>
        </w:rPr>
      </w:pPr>
    </w:p>
    <w:p w:rsidR="00371CC9" w:rsidRPr="00CC3507" w:rsidRDefault="00371CC9" w:rsidP="00371CC9">
      <w:pPr>
        <w:numPr>
          <w:ilvl w:val="0"/>
          <w:numId w:val="21"/>
        </w:numPr>
        <w:spacing w:after="120" w:line="240" w:lineRule="auto"/>
        <w:ind w:left="426" w:firstLine="567"/>
        <w:jc w:val="both"/>
        <w:rPr>
          <w:rFonts w:ascii="Times New Roman" w:hAnsi="Times New Roman" w:cs="Times New Roman"/>
          <w:sz w:val="24"/>
          <w:szCs w:val="24"/>
          <w:lang w:val="en-US"/>
        </w:rPr>
      </w:pPr>
      <w:r w:rsidRPr="00CC3507">
        <w:rPr>
          <w:rFonts w:ascii="Times New Roman" w:hAnsi="Times New Roman" w:cs="Times New Roman"/>
          <w:sz w:val="24"/>
          <w:szCs w:val="24"/>
          <w:lang w:val="en-US"/>
        </w:rPr>
        <w:t xml:space="preserve">Clearing on trades with </w:t>
      </w:r>
      <w:r w:rsidR="004C7F96">
        <w:rPr>
          <w:rFonts w:ascii="Times New Roman" w:hAnsi="Times New Roman" w:cs="Times New Roman"/>
          <w:sz w:val="24"/>
          <w:szCs w:val="24"/>
          <w:lang w:val="en-US"/>
        </w:rPr>
        <w:t xml:space="preserve">the </w:t>
      </w:r>
      <w:r w:rsidRPr="00CC3507">
        <w:rPr>
          <w:rFonts w:ascii="Times New Roman" w:hAnsi="Times New Roman" w:cs="Times New Roman"/>
          <w:sz w:val="24"/>
          <w:szCs w:val="24"/>
          <w:lang w:val="en-US"/>
        </w:rPr>
        <w:t xml:space="preserve">full initial collateral and without </w:t>
      </w:r>
      <w:r w:rsidR="004C7F96">
        <w:rPr>
          <w:rFonts w:ascii="Times New Roman" w:hAnsi="Times New Roman" w:cs="Times New Roman"/>
          <w:sz w:val="24"/>
          <w:szCs w:val="24"/>
          <w:lang w:val="en-US"/>
        </w:rPr>
        <w:t xml:space="preserve">the </w:t>
      </w:r>
      <w:r w:rsidRPr="00CC3507">
        <w:rPr>
          <w:rFonts w:ascii="Times New Roman" w:hAnsi="Times New Roman" w:cs="Times New Roman"/>
          <w:sz w:val="24"/>
          <w:szCs w:val="24"/>
          <w:lang w:val="en-US"/>
        </w:rPr>
        <w:t xml:space="preserve">initial collateral (‘old’ trades):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701"/>
        <w:gridCol w:w="1275"/>
        <w:gridCol w:w="1560"/>
        <w:gridCol w:w="1842"/>
        <w:gridCol w:w="2127"/>
      </w:tblGrid>
      <w:tr w:rsidR="00371CC9" w:rsidRPr="00CC3507" w:rsidTr="00371CC9">
        <w:trPr>
          <w:cantSplit/>
          <w:tblHeader/>
        </w:trPr>
        <w:tc>
          <w:tcPr>
            <w:tcW w:w="1135" w:type="dxa"/>
            <w:vAlign w:val="center"/>
          </w:tcPr>
          <w:p w:rsidR="00371CC9" w:rsidRPr="00CC3507" w:rsidRDefault="00371CC9" w:rsidP="00371CC9">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b/>
                <w:sz w:val="24"/>
                <w:szCs w:val="24"/>
                <w:lang w:val="en-US" w:eastAsia="ru-RU"/>
              </w:rPr>
            </w:pPr>
            <w:r w:rsidRPr="00CC3507">
              <w:rPr>
                <w:rFonts w:ascii="Times New Roman" w:eastAsia="Times New Roman" w:hAnsi="Times New Roman" w:cs="Times New Roman"/>
                <w:b/>
                <w:sz w:val="24"/>
                <w:szCs w:val="24"/>
                <w:lang w:val="en-US" w:eastAsia="ru-RU"/>
              </w:rPr>
              <w:t>Settlement code</w:t>
            </w:r>
          </w:p>
        </w:tc>
        <w:tc>
          <w:tcPr>
            <w:tcW w:w="1701" w:type="dxa"/>
            <w:vAlign w:val="center"/>
          </w:tcPr>
          <w:p w:rsidR="00371CC9" w:rsidRPr="00CC3507" w:rsidRDefault="00371CC9" w:rsidP="00371CC9">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b/>
                <w:sz w:val="24"/>
                <w:szCs w:val="24"/>
                <w:lang w:val="en-US" w:eastAsia="ru-RU"/>
              </w:rPr>
            </w:pPr>
            <w:r w:rsidRPr="00CC3507">
              <w:rPr>
                <w:rFonts w:ascii="Times New Roman" w:eastAsia="Times New Roman" w:hAnsi="Times New Roman" w:cs="Times New Roman"/>
                <w:b/>
                <w:sz w:val="24"/>
                <w:szCs w:val="24"/>
                <w:lang w:val="en-US" w:eastAsia="ru-RU"/>
              </w:rPr>
              <w:t>Trades</w:t>
            </w:r>
          </w:p>
        </w:tc>
        <w:tc>
          <w:tcPr>
            <w:tcW w:w="1275" w:type="dxa"/>
            <w:vAlign w:val="center"/>
          </w:tcPr>
          <w:p w:rsidR="00371CC9" w:rsidRPr="00CC3507" w:rsidRDefault="00371CC9" w:rsidP="00371CC9">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b/>
                <w:sz w:val="24"/>
                <w:szCs w:val="24"/>
                <w:lang w:val="en-US" w:eastAsia="ru-RU"/>
              </w:rPr>
            </w:pPr>
            <w:r w:rsidRPr="00CC3507">
              <w:rPr>
                <w:rFonts w:ascii="Times New Roman" w:eastAsia="Times New Roman" w:hAnsi="Times New Roman" w:cs="Times New Roman"/>
                <w:b/>
                <w:sz w:val="24"/>
                <w:szCs w:val="24"/>
                <w:lang w:val="en-US" w:eastAsia="ru-RU"/>
              </w:rPr>
              <w:t>Execution date</w:t>
            </w:r>
          </w:p>
        </w:tc>
        <w:tc>
          <w:tcPr>
            <w:tcW w:w="1560" w:type="dxa"/>
            <w:vAlign w:val="center"/>
          </w:tcPr>
          <w:p w:rsidR="00371CC9" w:rsidRPr="00CC3507" w:rsidRDefault="00371CC9" w:rsidP="00371CC9">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b/>
                <w:sz w:val="24"/>
                <w:szCs w:val="24"/>
                <w:lang w:val="en-US" w:eastAsia="ru-RU"/>
              </w:rPr>
            </w:pPr>
            <w:r w:rsidRPr="00CC3507">
              <w:rPr>
                <w:rFonts w:ascii="Times New Roman" w:eastAsia="Times New Roman" w:hAnsi="Times New Roman" w:cs="Times New Roman"/>
                <w:b/>
                <w:sz w:val="24"/>
                <w:szCs w:val="24"/>
                <w:lang w:val="en-US" w:eastAsia="ru-RU"/>
              </w:rPr>
              <w:t>Collateral control procedure</w:t>
            </w:r>
          </w:p>
        </w:tc>
        <w:tc>
          <w:tcPr>
            <w:tcW w:w="1842" w:type="dxa"/>
            <w:vAlign w:val="center"/>
          </w:tcPr>
          <w:p w:rsidR="00371CC9" w:rsidRPr="00CC3507" w:rsidRDefault="00371CC9" w:rsidP="00371CC9">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b/>
                <w:sz w:val="24"/>
                <w:szCs w:val="24"/>
                <w:lang w:val="en-US" w:eastAsia="ru-RU"/>
              </w:rPr>
            </w:pPr>
            <w:r w:rsidRPr="00CC3507">
              <w:rPr>
                <w:rFonts w:ascii="Times New Roman" w:eastAsia="Times New Roman" w:hAnsi="Times New Roman" w:cs="Times New Roman"/>
                <w:b/>
                <w:sz w:val="24"/>
                <w:szCs w:val="24"/>
                <w:lang w:val="en-US" w:eastAsia="ru-RU"/>
              </w:rPr>
              <w:t>Clearing</w:t>
            </w:r>
          </w:p>
        </w:tc>
        <w:tc>
          <w:tcPr>
            <w:tcW w:w="2127" w:type="dxa"/>
            <w:vAlign w:val="center"/>
          </w:tcPr>
          <w:p w:rsidR="00371CC9" w:rsidRPr="00CC3507" w:rsidRDefault="00371CC9" w:rsidP="00371CC9">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b/>
                <w:sz w:val="24"/>
                <w:szCs w:val="24"/>
                <w:lang w:val="en-US" w:eastAsia="ru-RU"/>
              </w:rPr>
            </w:pPr>
            <w:r w:rsidRPr="00CC3507">
              <w:rPr>
                <w:rFonts w:ascii="Times New Roman" w:eastAsia="Times New Roman" w:hAnsi="Times New Roman" w:cs="Times New Roman"/>
                <w:b/>
                <w:sz w:val="24"/>
                <w:szCs w:val="24"/>
                <w:lang w:val="en-US" w:eastAsia="ru-RU"/>
              </w:rPr>
              <w:t>Settlement</w:t>
            </w:r>
          </w:p>
        </w:tc>
      </w:tr>
      <w:tr w:rsidR="00371CC9" w:rsidRPr="00CC3507" w:rsidTr="00371CC9">
        <w:trPr>
          <w:cantSplit/>
        </w:trPr>
        <w:tc>
          <w:tcPr>
            <w:tcW w:w="1135" w:type="dxa"/>
          </w:tcPr>
          <w:p w:rsidR="00371CC9" w:rsidRPr="00CC3507" w:rsidRDefault="00371CC9" w:rsidP="00371CC9">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T0</w:t>
            </w:r>
          </w:p>
        </w:tc>
        <w:tc>
          <w:tcPr>
            <w:tcW w:w="1701" w:type="dxa"/>
          </w:tcPr>
          <w:p w:rsidR="00371CC9" w:rsidRPr="00CC3507" w:rsidRDefault="00371CC9" w:rsidP="00371CC9">
            <w:pPr>
              <w:widowControl w:val="0"/>
              <w:overflowPunct w:val="0"/>
              <w:autoSpaceDE w:val="0"/>
              <w:autoSpaceDN w:val="0"/>
              <w:adjustRightInd w:val="0"/>
              <w:spacing w:after="0" w:line="240" w:lineRule="auto"/>
              <w:ind w:firstLine="15"/>
              <w:jc w:val="both"/>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 xml:space="preserve"> buy-sell</w:t>
            </w:r>
          </w:p>
        </w:tc>
        <w:tc>
          <w:tcPr>
            <w:tcW w:w="1275" w:type="dxa"/>
          </w:tcPr>
          <w:p w:rsidR="00371CC9" w:rsidRPr="00CC3507" w:rsidRDefault="00371CC9" w:rsidP="00371CC9">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T+0</w:t>
            </w:r>
          </w:p>
        </w:tc>
        <w:tc>
          <w:tcPr>
            <w:tcW w:w="1560" w:type="dxa"/>
          </w:tcPr>
          <w:p w:rsidR="00371CC9" w:rsidRPr="00CC3507" w:rsidRDefault="00371CC9" w:rsidP="00371CC9">
            <w:pPr>
              <w:widowControl w:val="0"/>
              <w:overflowPunct w:val="0"/>
              <w:autoSpaceDE w:val="0"/>
              <w:autoSpaceDN w:val="0"/>
              <w:adjustRightInd w:val="0"/>
              <w:spacing w:after="0" w:line="240" w:lineRule="auto"/>
              <w:ind w:firstLine="15"/>
              <w:jc w:val="both"/>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At the order submission</w:t>
            </w:r>
          </w:p>
        </w:tc>
        <w:tc>
          <w:tcPr>
            <w:tcW w:w="1842" w:type="dxa"/>
          </w:tcPr>
          <w:p w:rsidR="00371CC9" w:rsidRPr="00CC3507" w:rsidRDefault="00371CC9" w:rsidP="00371CC9">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Multilateral, fully collateralized</w:t>
            </w:r>
          </w:p>
        </w:tc>
        <w:tc>
          <w:tcPr>
            <w:tcW w:w="2127" w:type="dxa"/>
          </w:tcPr>
          <w:p w:rsidR="00371CC9" w:rsidRPr="00CC3507" w:rsidRDefault="00371CC9" w:rsidP="00371CC9">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After trading</w:t>
            </w:r>
          </w:p>
        </w:tc>
      </w:tr>
      <w:tr w:rsidR="00371CC9" w:rsidRPr="009F55B7" w:rsidTr="00371CC9">
        <w:trPr>
          <w:cantSplit/>
        </w:trPr>
        <w:tc>
          <w:tcPr>
            <w:tcW w:w="1135" w:type="dxa"/>
          </w:tcPr>
          <w:p w:rsidR="00371CC9" w:rsidRPr="00CC3507" w:rsidRDefault="00371CC9" w:rsidP="00371CC9">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B0-B30</w:t>
            </w:r>
          </w:p>
        </w:tc>
        <w:tc>
          <w:tcPr>
            <w:tcW w:w="1701" w:type="dxa"/>
          </w:tcPr>
          <w:p w:rsidR="00371CC9" w:rsidRPr="00CC3507" w:rsidRDefault="00371CC9" w:rsidP="00371CC9">
            <w:pPr>
              <w:widowControl w:val="0"/>
              <w:overflowPunct w:val="0"/>
              <w:autoSpaceDE w:val="0"/>
              <w:autoSpaceDN w:val="0"/>
              <w:adjustRightInd w:val="0"/>
              <w:spacing w:after="0" w:line="240" w:lineRule="auto"/>
              <w:ind w:firstLine="15"/>
              <w:jc w:val="both"/>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 xml:space="preserve"> buy-sell</w:t>
            </w:r>
          </w:p>
        </w:tc>
        <w:tc>
          <w:tcPr>
            <w:tcW w:w="1275" w:type="dxa"/>
          </w:tcPr>
          <w:p w:rsidR="00371CC9" w:rsidRPr="00CC3507" w:rsidRDefault="00371CC9" w:rsidP="00371CC9">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T+0 – T+30</w:t>
            </w:r>
          </w:p>
        </w:tc>
        <w:tc>
          <w:tcPr>
            <w:tcW w:w="1560" w:type="dxa"/>
          </w:tcPr>
          <w:p w:rsidR="00371CC9" w:rsidRPr="00CC3507" w:rsidRDefault="00371CC9" w:rsidP="00371CC9">
            <w:pPr>
              <w:widowControl w:val="0"/>
              <w:overflowPunct w:val="0"/>
              <w:autoSpaceDE w:val="0"/>
              <w:autoSpaceDN w:val="0"/>
              <w:adjustRightInd w:val="0"/>
              <w:spacing w:after="0" w:line="240" w:lineRule="auto"/>
              <w:ind w:firstLine="15"/>
              <w:jc w:val="both"/>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At the submission of execution report</w:t>
            </w:r>
          </w:p>
        </w:tc>
        <w:tc>
          <w:tcPr>
            <w:tcW w:w="1842" w:type="dxa"/>
          </w:tcPr>
          <w:p w:rsidR="00371CC9" w:rsidRPr="00CC3507" w:rsidRDefault="00371CC9" w:rsidP="00371CC9">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Without initial collateral</w:t>
            </w:r>
          </w:p>
        </w:tc>
        <w:tc>
          <w:tcPr>
            <w:tcW w:w="2127" w:type="dxa"/>
          </w:tcPr>
          <w:p w:rsidR="00371CC9" w:rsidRPr="00CC3507" w:rsidRDefault="00371CC9" w:rsidP="00371CC9">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After or in the course of trading (depending on the type of execution report)</w:t>
            </w:r>
          </w:p>
        </w:tc>
      </w:tr>
      <w:tr w:rsidR="00371CC9" w:rsidRPr="00CC3507" w:rsidTr="00371CC9">
        <w:trPr>
          <w:cantSplit/>
        </w:trPr>
        <w:tc>
          <w:tcPr>
            <w:tcW w:w="1135" w:type="dxa"/>
          </w:tcPr>
          <w:p w:rsidR="00371CC9" w:rsidRPr="00CC3507" w:rsidRDefault="00371CC9" w:rsidP="00371CC9">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K0</w:t>
            </w:r>
          </w:p>
        </w:tc>
        <w:tc>
          <w:tcPr>
            <w:tcW w:w="1701" w:type="dxa"/>
          </w:tcPr>
          <w:p w:rsidR="00371CC9" w:rsidRPr="00CC3507" w:rsidRDefault="00371CC9" w:rsidP="00371CC9">
            <w:pPr>
              <w:widowControl w:val="0"/>
              <w:overflowPunct w:val="0"/>
              <w:autoSpaceDE w:val="0"/>
              <w:autoSpaceDN w:val="0"/>
              <w:adjustRightInd w:val="0"/>
              <w:spacing w:after="0" w:line="240" w:lineRule="auto"/>
              <w:ind w:firstLine="15"/>
              <w:jc w:val="both"/>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 xml:space="preserve"> buy-sell</w:t>
            </w:r>
          </w:p>
        </w:tc>
        <w:tc>
          <w:tcPr>
            <w:tcW w:w="1275" w:type="dxa"/>
          </w:tcPr>
          <w:p w:rsidR="00371CC9" w:rsidRPr="00CC3507" w:rsidRDefault="00371CC9" w:rsidP="00371CC9">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T+0</w:t>
            </w:r>
          </w:p>
        </w:tc>
        <w:tc>
          <w:tcPr>
            <w:tcW w:w="1560" w:type="dxa"/>
          </w:tcPr>
          <w:p w:rsidR="00371CC9" w:rsidRPr="00CC3507" w:rsidRDefault="00371CC9" w:rsidP="00371CC9">
            <w:pPr>
              <w:widowControl w:val="0"/>
              <w:overflowPunct w:val="0"/>
              <w:autoSpaceDE w:val="0"/>
              <w:autoSpaceDN w:val="0"/>
              <w:adjustRightInd w:val="0"/>
              <w:spacing w:after="0" w:line="240" w:lineRule="auto"/>
              <w:ind w:firstLine="15"/>
              <w:jc w:val="both"/>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At the conclusion of trade</w:t>
            </w:r>
          </w:p>
        </w:tc>
        <w:tc>
          <w:tcPr>
            <w:tcW w:w="1842" w:type="dxa"/>
          </w:tcPr>
          <w:p w:rsidR="00371CC9" w:rsidRPr="00CC3507" w:rsidRDefault="00371CC9" w:rsidP="00371CC9">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Multilateral, fully collateralized</w:t>
            </w:r>
          </w:p>
        </w:tc>
        <w:tc>
          <w:tcPr>
            <w:tcW w:w="2127" w:type="dxa"/>
          </w:tcPr>
          <w:p w:rsidR="00371CC9" w:rsidRPr="00CC3507" w:rsidRDefault="00371CC9" w:rsidP="00371CC9">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After trading</w:t>
            </w:r>
          </w:p>
        </w:tc>
      </w:tr>
      <w:tr w:rsidR="00371CC9" w:rsidRPr="009F55B7" w:rsidTr="00371CC9">
        <w:trPr>
          <w:cantSplit/>
        </w:trPr>
        <w:tc>
          <w:tcPr>
            <w:tcW w:w="1135" w:type="dxa"/>
          </w:tcPr>
          <w:p w:rsidR="00371CC9" w:rsidRPr="00CC3507" w:rsidRDefault="00371CC9" w:rsidP="00371CC9">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Z0</w:t>
            </w:r>
          </w:p>
        </w:tc>
        <w:tc>
          <w:tcPr>
            <w:tcW w:w="1701" w:type="dxa"/>
          </w:tcPr>
          <w:p w:rsidR="00371CC9" w:rsidRPr="00CC3507" w:rsidRDefault="00371CC9" w:rsidP="00371CC9">
            <w:pPr>
              <w:widowControl w:val="0"/>
              <w:overflowPunct w:val="0"/>
              <w:autoSpaceDE w:val="0"/>
              <w:autoSpaceDN w:val="0"/>
              <w:adjustRightInd w:val="0"/>
              <w:spacing w:after="0" w:line="240" w:lineRule="auto"/>
              <w:ind w:firstLine="15"/>
              <w:jc w:val="both"/>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 xml:space="preserve"> buy-sell</w:t>
            </w:r>
          </w:p>
        </w:tc>
        <w:tc>
          <w:tcPr>
            <w:tcW w:w="1275" w:type="dxa"/>
          </w:tcPr>
          <w:p w:rsidR="00371CC9" w:rsidRPr="00CC3507" w:rsidRDefault="00371CC9" w:rsidP="00371CC9">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T+0</w:t>
            </w:r>
          </w:p>
        </w:tc>
        <w:tc>
          <w:tcPr>
            <w:tcW w:w="1560" w:type="dxa"/>
          </w:tcPr>
          <w:p w:rsidR="00371CC9" w:rsidRPr="00CC3507" w:rsidRDefault="00371CC9" w:rsidP="00371CC9">
            <w:pPr>
              <w:widowControl w:val="0"/>
              <w:overflowPunct w:val="0"/>
              <w:autoSpaceDE w:val="0"/>
              <w:autoSpaceDN w:val="0"/>
              <w:adjustRightInd w:val="0"/>
              <w:spacing w:after="0" w:line="240" w:lineRule="auto"/>
              <w:ind w:firstLine="15"/>
              <w:jc w:val="both"/>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At the order submission</w:t>
            </w:r>
          </w:p>
        </w:tc>
        <w:tc>
          <w:tcPr>
            <w:tcW w:w="1842" w:type="dxa"/>
          </w:tcPr>
          <w:p w:rsidR="00371CC9" w:rsidRPr="00CC3507" w:rsidRDefault="00371CC9" w:rsidP="00371CC9">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Simple, fully collateralized</w:t>
            </w:r>
          </w:p>
        </w:tc>
        <w:tc>
          <w:tcPr>
            <w:tcW w:w="2127" w:type="dxa"/>
          </w:tcPr>
          <w:p w:rsidR="00371CC9" w:rsidRPr="00CC3507" w:rsidRDefault="00371CC9" w:rsidP="00371CC9">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In the course of trading</w:t>
            </w:r>
          </w:p>
        </w:tc>
      </w:tr>
      <w:tr w:rsidR="00371CC9" w:rsidRPr="009F55B7" w:rsidTr="00371CC9">
        <w:trPr>
          <w:cantSplit/>
        </w:trPr>
        <w:tc>
          <w:tcPr>
            <w:tcW w:w="1135" w:type="dxa"/>
          </w:tcPr>
          <w:p w:rsidR="00371CC9" w:rsidRPr="00CC3507" w:rsidRDefault="00371CC9" w:rsidP="00371CC9">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eastAsia="ru-RU"/>
              </w:rPr>
            </w:pPr>
            <w:proofErr w:type="spellStart"/>
            <w:r w:rsidRPr="00CC3507">
              <w:rPr>
                <w:rFonts w:ascii="Times New Roman" w:eastAsia="Times New Roman" w:hAnsi="Times New Roman" w:cs="Times New Roman"/>
                <w:sz w:val="24"/>
                <w:szCs w:val="24"/>
                <w:lang w:val="en-US" w:eastAsia="ru-RU"/>
              </w:rPr>
              <w:t>Rb</w:t>
            </w:r>
            <w:proofErr w:type="spellEnd"/>
          </w:p>
        </w:tc>
        <w:tc>
          <w:tcPr>
            <w:tcW w:w="1701" w:type="dxa"/>
          </w:tcPr>
          <w:p w:rsidR="00371CC9" w:rsidRPr="00CC3507" w:rsidRDefault="00371CC9" w:rsidP="00371CC9">
            <w:pPr>
              <w:widowControl w:val="0"/>
              <w:overflowPunct w:val="0"/>
              <w:autoSpaceDE w:val="0"/>
              <w:autoSpaceDN w:val="0"/>
              <w:adjustRightInd w:val="0"/>
              <w:spacing w:after="0" w:line="240" w:lineRule="auto"/>
              <w:ind w:firstLine="15"/>
              <w:jc w:val="both"/>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 xml:space="preserve"> Repo</w:t>
            </w:r>
          </w:p>
        </w:tc>
        <w:tc>
          <w:tcPr>
            <w:tcW w:w="1275" w:type="dxa"/>
          </w:tcPr>
          <w:p w:rsidR="00371CC9" w:rsidRPr="00CC3507" w:rsidRDefault="00371CC9" w:rsidP="00371CC9">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Part 1 - T+0;</w:t>
            </w:r>
          </w:p>
          <w:p w:rsidR="00371CC9" w:rsidRPr="00CC3507" w:rsidRDefault="00371CC9" w:rsidP="00371CC9">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 xml:space="preserve">Part 2 – </w:t>
            </w:r>
            <w:proofErr w:type="spellStart"/>
            <w:r w:rsidRPr="00CC3507">
              <w:rPr>
                <w:rFonts w:ascii="Times New Roman" w:eastAsia="Times New Roman" w:hAnsi="Times New Roman" w:cs="Times New Roman"/>
                <w:sz w:val="24"/>
                <w:szCs w:val="24"/>
                <w:lang w:val="en-US" w:eastAsia="ru-RU"/>
              </w:rPr>
              <w:t>T+k</w:t>
            </w:r>
            <w:proofErr w:type="spellEnd"/>
            <w:r w:rsidRPr="00CC3507">
              <w:rPr>
                <w:rFonts w:ascii="Times New Roman" w:eastAsia="Times New Roman" w:hAnsi="Times New Roman" w:cs="Times New Roman"/>
                <w:sz w:val="24"/>
                <w:szCs w:val="24"/>
                <w:lang w:val="en-US" w:eastAsia="ru-RU"/>
              </w:rPr>
              <w:t>, where k is the term of repo trade</w:t>
            </w:r>
          </w:p>
        </w:tc>
        <w:tc>
          <w:tcPr>
            <w:tcW w:w="1560" w:type="dxa"/>
          </w:tcPr>
          <w:p w:rsidR="00371CC9" w:rsidRPr="00CC3507" w:rsidRDefault="00371CC9" w:rsidP="00371CC9">
            <w:pPr>
              <w:widowControl w:val="0"/>
              <w:overflowPunct w:val="0"/>
              <w:autoSpaceDE w:val="0"/>
              <w:autoSpaceDN w:val="0"/>
              <w:adjustRightInd w:val="0"/>
              <w:spacing w:after="0" w:line="240" w:lineRule="auto"/>
              <w:ind w:firstLine="15"/>
              <w:jc w:val="both"/>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Part 1—at the order submission; Part 2-- at the submission of execution report</w:t>
            </w:r>
          </w:p>
        </w:tc>
        <w:tc>
          <w:tcPr>
            <w:tcW w:w="1842" w:type="dxa"/>
          </w:tcPr>
          <w:p w:rsidR="00371CC9" w:rsidRPr="00CC3507" w:rsidRDefault="00371CC9" w:rsidP="00371CC9">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Part1-- multilateral, fully collateralized; Part 2-- without initial collateral</w:t>
            </w:r>
          </w:p>
        </w:tc>
        <w:tc>
          <w:tcPr>
            <w:tcW w:w="2127" w:type="dxa"/>
          </w:tcPr>
          <w:p w:rsidR="00371CC9" w:rsidRPr="00CC3507" w:rsidRDefault="00371CC9" w:rsidP="00371CC9">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 xml:space="preserve">Part 1—after trading; </w:t>
            </w:r>
          </w:p>
          <w:p w:rsidR="00371CC9" w:rsidRPr="00CC3507" w:rsidRDefault="00371CC9" w:rsidP="00371CC9">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Part 2-- after or in the course of trading (depending on the type of execution report)</w:t>
            </w:r>
          </w:p>
        </w:tc>
      </w:tr>
      <w:tr w:rsidR="00371CC9" w:rsidRPr="009F55B7" w:rsidTr="00371CC9">
        <w:trPr>
          <w:cantSplit/>
        </w:trPr>
        <w:tc>
          <w:tcPr>
            <w:tcW w:w="1135" w:type="dxa"/>
          </w:tcPr>
          <w:p w:rsidR="00371CC9" w:rsidRPr="00CC3507" w:rsidRDefault="00371CC9" w:rsidP="00371CC9">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Z0</w:t>
            </w:r>
          </w:p>
        </w:tc>
        <w:tc>
          <w:tcPr>
            <w:tcW w:w="1701" w:type="dxa"/>
          </w:tcPr>
          <w:p w:rsidR="00371CC9" w:rsidRPr="00CC3507" w:rsidRDefault="00371CC9" w:rsidP="00371CC9">
            <w:pPr>
              <w:widowControl w:val="0"/>
              <w:overflowPunct w:val="0"/>
              <w:autoSpaceDE w:val="0"/>
              <w:autoSpaceDN w:val="0"/>
              <w:adjustRightInd w:val="0"/>
              <w:spacing w:after="0" w:line="240" w:lineRule="auto"/>
              <w:ind w:firstLine="15"/>
              <w:jc w:val="both"/>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Repo</w:t>
            </w:r>
          </w:p>
        </w:tc>
        <w:tc>
          <w:tcPr>
            <w:tcW w:w="1275" w:type="dxa"/>
          </w:tcPr>
          <w:p w:rsidR="00371CC9" w:rsidRPr="00CC3507" w:rsidRDefault="00371CC9" w:rsidP="00371CC9">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Part 1 - T+0;</w:t>
            </w:r>
          </w:p>
          <w:p w:rsidR="00371CC9" w:rsidRPr="00CC3507" w:rsidRDefault="00371CC9" w:rsidP="00371CC9">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 xml:space="preserve">Part 2– </w:t>
            </w:r>
            <w:proofErr w:type="spellStart"/>
            <w:r w:rsidRPr="00CC3507">
              <w:rPr>
                <w:rFonts w:ascii="Times New Roman" w:eastAsia="Times New Roman" w:hAnsi="Times New Roman" w:cs="Times New Roman"/>
                <w:sz w:val="24"/>
                <w:szCs w:val="24"/>
                <w:lang w:val="en-US" w:eastAsia="ru-RU"/>
              </w:rPr>
              <w:t>T+k</w:t>
            </w:r>
            <w:proofErr w:type="spellEnd"/>
            <w:r w:rsidRPr="00CC3507">
              <w:rPr>
                <w:rFonts w:ascii="Times New Roman" w:eastAsia="Times New Roman" w:hAnsi="Times New Roman" w:cs="Times New Roman"/>
                <w:sz w:val="24"/>
                <w:szCs w:val="24"/>
                <w:lang w:val="en-US" w:eastAsia="ru-RU"/>
              </w:rPr>
              <w:t>, k – term of repo trade</w:t>
            </w:r>
          </w:p>
        </w:tc>
        <w:tc>
          <w:tcPr>
            <w:tcW w:w="1560" w:type="dxa"/>
          </w:tcPr>
          <w:p w:rsidR="00371CC9" w:rsidRPr="00CC3507" w:rsidRDefault="00371CC9" w:rsidP="00371CC9">
            <w:pPr>
              <w:widowControl w:val="0"/>
              <w:overflowPunct w:val="0"/>
              <w:autoSpaceDE w:val="0"/>
              <w:autoSpaceDN w:val="0"/>
              <w:adjustRightInd w:val="0"/>
              <w:spacing w:after="0" w:line="240" w:lineRule="auto"/>
              <w:ind w:firstLine="15"/>
              <w:jc w:val="both"/>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Part 1—at the order submission; Part 2-- at the submission of execution report</w:t>
            </w:r>
          </w:p>
        </w:tc>
        <w:tc>
          <w:tcPr>
            <w:tcW w:w="1842" w:type="dxa"/>
          </w:tcPr>
          <w:p w:rsidR="00371CC9" w:rsidRPr="00CC3507" w:rsidRDefault="00371CC9" w:rsidP="00371CC9">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Part 1 – Simple, fully collateralized; Part 2-- without initial collateral</w:t>
            </w:r>
          </w:p>
        </w:tc>
        <w:tc>
          <w:tcPr>
            <w:tcW w:w="2127" w:type="dxa"/>
          </w:tcPr>
          <w:p w:rsidR="00371CC9" w:rsidRPr="00CC3507" w:rsidRDefault="00371CC9" w:rsidP="00371CC9">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Part 1—in the course of trading;</w:t>
            </w:r>
          </w:p>
          <w:p w:rsidR="00371CC9" w:rsidRPr="00CC3507" w:rsidRDefault="00371CC9" w:rsidP="00371CC9">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Part 2-- after or in the course of trading (depending on the type of execution report)</w:t>
            </w:r>
          </w:p>
        </w:tc>
      </w:tr>
      <w:tr w:rsidR="00371CC9" w:rsidRPr="009F55B7" w:rsidTr="00371CC9">
        <w:trPr>
          <w:cantSplit/>
        </w:trPr>
        <w:tc>
          <w:tcPr>
            <w:tcW w:w="1135" w:type="dxa"/>
          </w:tcPr>
          <w:p w:rsidR="00371CC9" w:rsidRPr="00CC3507" w:rsidRDefault="00371CC9" w:rsidP="00371CC9">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S0-S2</w:t>
            </w:r>
          </w:p>
        </w:tc>
        <w:tc>
          <w:tcPr>
            <w:tcW w:w="1701" w:type="dxa"/>
          </w:tcPr>
          <w:p w:rsidR="00371CC9" w:rsidRPr="00CC3507" w:rsidRDefault="00371CC9" w:rsidP="00371CC9">
            <w:pPr>
              <w:widowControl w:val="0"/>
              <w:overflowPunct w:val="0"/>
              <w:autoSpaceDE w:val="0"/>
              <w:autoSpaceDN w:val="0"/>
              <w:adjustRightInd w:val="0"/>
              <w:spacing w:after="0" w:line="240" w:lineRule="auto"/>
              <w:ind w:firstLine="15"/>
              <w:jc w:val="both"/>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Repo</w:t>
            </w:r>
          </w:p>
        </w:tc>
        <w:tc>
          <w:tcPr>
            <w:tcW w:w="1275" w:type="dxa"/>
          </w:tcPr>
          <w:p w:rsidR="00371CC9" w:rsidRPr="00CC3507" w:rsidRDefault="00371CC9" w:rsidP="00371CC9">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Part 1 - T+0 – T+2;</w:t>
            </w:r>
          </w:p>
          <w:p w:rsidR="00371CC9" w:rsidRPr="00CC3507" w:rsidRDefault="00371CC9" w:rsidP="00371CC9">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Part 2 – T+0+k – T+2+k, K – term of repo trade</w:t>
            </w:r>
          </w:p>
        </w:tc>
        <w:tc>
          <w:tcPr>
            <w:tcW w:w="1560" w:type="dxa"/>
          </w:tcPr>
          <w:p w:rsidR="00371CC9" w:rsidRPr="00CC3507" w:rsidRDefault="00371CC9" w:rsidP="00371CC9">
            <w:pPr>
              <w:widowControl w:val="0"/>
              <w:overflowPunct w:val="0"/>
              <w:autoSpaceDE w:val="0"/>
              <w:autoSpaceDN w:val="0"/>
              <w:adjustRightInd w:val="0"/>
              <w:spacing w:after="0" w:line="240" w:lineRule="auto"/>
              <w:ind w:firstLine="15"/>
              <w:jc w:val="both"/>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Each part—at the submission of execution report</w:t>
            </w:r>
          </w:p>
        </w:tc>
        <w:tc>
          <w:tcPr>
            <w:tcW w:w="1842" w:type="dxa"/>
          </w:tcPr>
          <w:p w:rsidR="00371CC9" w:rsidRPr="00CC3507" w:rsidRDefault="00371CC9" w:rsidP="00371CC9">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Each part—without initial collateral</w:t>
            </w:r>
          </w:p>
        </w:tc>
        <w:tc>
          <w:tcPr>
            <w:tcW w:w="2127" w:type="dxa"/>
          </w:tcPr>
          <w:p w:rsidR="00371CC9" w:rsidRPr="00CC3507" w:rsidRDefault="00371CC9" w:rsidP="00371CC9">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Each part-- after or in the course of trading (depending on the type of execution report)</w:t>
            </w:r>
          </w:p>
        </w:tc>
      </w:tr>
    </w:tbl>
    <w:p w:rsidR="00371CC9" w:rsidRPr="00CC3507" w:rsidRDefault="00371CC9" w:rsidP="00371CC9">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p>
    <w:p w:rsidR="00371CC9" w:rsidRPr="00CC3507" w:rsidRDefault="00371CC9" w:rsidP="00371CC9">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br w:type="page"/>
      </w:r>
    </w:p>
    <w:p w:rsidR="00371CC9" w:rsidRPr="00CC3507" w:rsidRDefault="00371CC9" w:rsidP="00371CC9">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p>
    <w:p w:rsidR="00371CC9" w:rsidRPr="00CC3507" w:rsidRDefault="00371CC9" w:rsidP="00371CC9">
      <w:pPr>
        <w:spacing w:before="100" w:after="120" w:line="240" w:lineRule="auto"/>
        <w:jc w:val="center"/>
        <w:rPr>
          <w:rFonts w:ascii="Times New Roman" w:hAnsi="Times New Roman" w:cs="Times New Roman"/>
          <w:b/>
          <w:sz w:val="24"/>
          <w:szCs w:val="24"/>
          <w:lang w:val="en-US" w:eastAsia="ru-RU"/>
        </w:rPr>
      </w:pPr>
      <w:r w:rsidRPr="00CC3507">
        <w:rPr>
          <w:rFonts w:ascii="Times New Roman" w:hAnsi="Times New Roman" w:cs="Times New Roman"/>
          <w:b/>
          <w:sz w:val="24"/>
          <w:szCs w:val="24"/>
          <w:lang w:val="en-US" w:eastAsia="ru-RU"/>
        </w:rPr>
        <w:t xml:space="preserve">In 2013 a number of strategic business-projects of the </w:t>
      </w:r>
      <w:r w:rsidR="004C7F96">
        <w:rPr>
          <w:rFonts w:ascii="Times New Roman" w:hAnsi="Times New Roman" w:cs="Times New Roman"/>
          <w:b/>
          <w:sz w:val="24"/>
          <w:szCs w:val="24"/>
          <w:lang w:val="en-US" w:eastAsia="ru-RU"/>
        </w:rPr>
        <w:t>G</w:t>
      </w:r>
      <w:r w:rsidRPr="00CC3507">
        <w:rPr>
          <w:rFonts w:ascii="Times New Roman" w:hAnsi="Times New Roman" w:cs="Times New Roman"/>
          <w:b/>
          <w:sz w:val="24"/>
          <w:szCs w:val="24"/>
          <w:lang w:val="en-US" w:eastAsia="ru-RU"/>
        </w:rPr>
        <w:t xml:space="preserve">roup was implemented, with the involvement </w:t>
      </w:r>
      <w:proofErr w:type="gramStart"/>
      <w:r w:rsidRPr="00CC3507">
        <w:rPr>
          <w:rFonts w:ascii="Times New Roman" w:hAnsi="Times New Roman" w:cs="Times New Roman"/>
          <w:b/>
          <w:sz w:val="24"/>
          <w:szCs w:val="24"/>
          <w:lang w:val="en-US" w:eastAsia="ru-RU"/>
        </w:rPr>
        <w:t>of  NCC</w:t>
      </w:r>
      <w:proofErr w:type="gramEnd"/>
    </w:p>
    <w:p w:rsidR="00371CC9" w:rsidRPr="00CC3507" w:rsidRDefault="00371CC9" w:rsidP="00371CC9">
      <w:pPr>
        <w:spacing w:after="120" w:line="240" w:lineRule="auto"/>
        <w:ind w:firstLine="567"/>
        <w:jc w:val="both"/>
        <w:rPr>
          <w:rFonts w:ascii="Times New Roman" w:hAnsi="Times New Roman" w:cs="Times New Roman"/>
          <w:sz w:val="24"/>
          <w:szCs w:val="24"/>
          <w:lang w:val="en-US" w:eastAsia="ru-RU"/>
        </w:rPr>
      </w:pPr>
    </w:p>
    <w:p w:rsidR="00371CC9" w:rsidRPr="00CC3507" w:rsidRDefault="00371CC9" w:rsidP="00371CC9">
      <w:pPr>
        <w:spacing w:before="100" w:after="120" w:line="240" w:lineRule="auto"/>
        <w:jc w:val="center"/>
        <w:rPr>
          <w:rFonts w:ascii="Times New Roman" w:hAnsi="Times New Roman" w:cs="Times New Roman"/>
          <w:b/>
          <w:sz w:val="24"/>
          <w:szCs w:val="24"/>
          <w:lang w:val="en-US" w:eastAsia="ru-RU"/>
        </w:rPr>
      </w:pPr>
      <w:r w:rsidRPr="00CC3507">
        <w:rPr>
          <w:rFonts w:ascii="Times New Roman" w:hAnsi="Times New Roman" w:cs="Times New Roman"/>
          <w:sz w:val="24"/>
          <w:szCs w:val="24"/>
          <w:lang w:val="en-US" w:eastAsia="ru-RU"/>
        </w:rPr>
        <w:t xml:space="preserve">1. The launch of clearing with </w:t>
      </w:r>
      <w:r w:rsidR="004C7F96">
        <w:rPr>
          <w:rFonts w:ascii="Times New Roman" w:hAnsi="Times New Roman" w:cs="Times New Roman"/>
          <w:sz w:val="24"/>
          <w:szCs w:val="24"/>
          <w:lang w:val="en-US" w:eastAsia="ru-RU"/>
        </w:rPr>
        <w:t xml:space="preserve">the </w:t>
      </w:r>
      <w:r w:rsidRPr="00CC3507">
        <w:rPr>
          <w:rFonts w:ascii="Times New Roman" w:hAnsi="Times New Roman" w:cs="Times New Roman"/>
          <w:sz w:val="24"/>
          <w:szCs w:val="24"/>
          <w:lang w:val="en-US" w:eastAsia="ru-RU"/>
        </w:rPr>
        <w:t>partial collateral with T+2</w:t>
      </w:r>
      <w:r>
        <w:rPr>
          <w:rFonts w:ascii="Times New Roman" w:hAnsi="Times New Roman" w:cs="Times New Roman"/>
          <w:sz w:val="24"/>
          <w:szCs w:val="24"/>
          <w:lang w:val="en-US" w:eastAsia="ru-RU"/>
        </w:rPr>
        <w:t xml:space="preserve"> mode</w:t>
      </w:r>
      <w:r w:rsidRPr="00CC3507">
        <w:rPr>
          <w:rFonts w:ascii="Times New Roman" w:hAnsi="Times New Roman" w:cs="Times New Roman"/>
          <w:sz w:val="24"/>
          <w:szCs w:val="24"/>
          <w:lang w:val="en-US" w:eastAsia="ru-RU"/>
        </w:rPr>
        <w:t xml:space="preserve"> settlements on the securities market of the Moscow Exchange.</w:t>
      </w:r>
    </w:p>
    <w:p w:rsidR="00371CC9" w:rsidRPr="00CC3507" w:rsidRDefault="00371CC9" w:rsidP="00371CC9">
      <w:pPr>
        <w:spacing w:before="100" w:after="120" w:line="240" w:lineRule="auto"/>
        <w:jc w:val="center"/>
        <w:rPr>
          <w:rFonts w:ascii="Times New Roman" w:hAnsi="Times New Roman" w:cs="Times New Roman"/>
          <w:sz w:val="24"/>
          <w:szCs w:val="24"/>
          <w:lang w:val="en-US" w:eastAsia="ru-RU"/>
        </w:rPr>
      </w:pPr>
    </w:p>
    <w:p w:rsidR="00371CC9" w:rsidRPr="00CC3507" w:rsidRDefault="00371CC9" w:rsidP="00371CC9">
      <w:pPr>
        <w:spacing w:after="120" w:line="240" w:lineRule="auto"/>
        <w:ind w:firstLine="567"/>
        <w:jc w:val="both"/>
        <w:rPr>
          <w:rFonts w:ascii="Times New Roman" w:hAnsi="Times New Roman" w:cs="Times New Roman"/>
          <w:sz w:val="24"/>
          <w:szCs w:val="24"/>
          <w:lang w:val="en-US" w:eastAsia="ru-RU"/>
        </w:rPr>
      </w:pPr>
      <w:r w:rsidRPr="00CC3507">
        <w:rPr>
          <w:rFonts w:ascii="Times New Roman" w:hAnsi="Times New Roman" w:cs="Times New Roman"/>
          <w:sz w:val="24"/>
          <w:szCs w:val="24"/>
          <w:lang w:val="en-US" w:eastAsia="ru-RU"/>
        </w:rPr>
        <w:t xml:space="preserve">Prior to the realization of the clearing project in T+2 </w:t>
      </w:r>
      <w:proofErr w:type="gramStart"/>
      <w:r w:rsidRPr="00CC3507">
        <w:rPr>
          <w:rFonts w:ascii="Times New Roman" w:hAnsi="Times New Roman" w:cs="Times New Roman"/>
          <w:sz w:val="24"/>
          <w:szCs w:val="24"/>
          <w:lang w:val="en-US" w:eastAsia="ru-RU"/>
        </w:rPr>
        <w:t>mode</w:t>
      </w:r>
      <w:proofErr w:type="gramEnd"/>
      <w:r w:rsidRPr="00CC3507">
        <w:rPr>
          <w:rFonts w:ascii="Times New Roman" w:hAnsi="Times New Roman" w:cs="Times New Roman"/>
          <w:sz w:val="24"/>
          <w:szCs w:val="24"/>
          <w:lang w:val="en-US" w:eastAsia="ru-RU"/>
        </w:rPr>
        <w:t xml:space="preserve">, NCC conducted centralized clearing with </w:t>
      </w:r>
      <w:r w:rsidR="004C7F96">
        <w:rPr>
          <w:rFonts w:ascii="Times New Roman" w:hAnsi="Times New Roman" w:cs="Times New Roman"/>
          <w:sz w:val="24"/>
          <w:szCs w:val="24"/>
          <w:lang w:val="en-US" w:eastAsia="ru-RU"/>
        </w:rPr>
        <w:t xml:space="preserve">the </w:t>
      </w:r>
      <w:r w:rsidRPr="00CC3507">
        <w:rPr>
          <w:rFonts w:ascii="Times New Roman" w:hAnsi="Times New Roman" w:cs="Times New Roman"/>
          <w:sz w:val="24"/>
          <w:szCs w:val="24"/>
          <w:lang w:val="en-US" w:eastAsia="ru-RU"/>
        </w:rPr>
        <w:t xml:space="preserve">full collateral and clearing without </w:t>
      </w:r>
      <w:r w:rsidR="004C7F96">
        <w:rPr>
          <w:rFonts w:ascii="Times New Roman" w:hAnsi="Times New Roman" w:cs="Times New Roman"/>
          <w:sz w:val="24"/>
          <w:szCs w:val="24"/>
          <w:lang w:val="en-US" w:eastAsia="ru-RU"/>
        </w:rPr>
        <w:t xml:space="preserve">the </w:t>
      </w:r>
      <w:r>
        <w:rPr>
          <w:rFonts w:ascii="Times New Roman" w:hAnsi="Times New Roman" w:cs="Times New Roman"/>
          <w:sz w:val="24"/>
          <w:szCs w:val="24"/>
          <w:lang w:val="en-US" w:eastAsia="ru-RU"/>
        </w:rPr>
        <w:t>preliminary</w:t>
      </w:r>
      <w:r w:rsidRPr="00CC3507">
        <w:rPr>
          <w:rFonts w:ascii="Times New Roman" w:hAnsi="Times New Roman" w:cs="Times New Roman"/>
          <w:sz w:val="24"/>
          <w:szCs w:val="24"/>
          <w:lang w:val="en-US" w:eastAsia="ru-RU"/>
        </w:rPr>
        <w:t xml:space="preserve"> collateral (without service of central counterparty). In all cases, settlements were carried out on the principle ‘delivery against payment’.</w:t>
      </w:r>
    </w:p>
    <w:p w:rsidR="00371CC9" w:rsidRPr="00CC3507" w:rsidRDefault="00371CC9" w:rsidP="00371CC9">
      <w:pPr>
        <w:spacing w:after="120" w:line="240" w:lineRule="auto"/>
        <w:ind w:firstLine="567"/>
        <w:jc w:val="both"/>
        <w:rPr>
          <w:rFonts w:ascii="Times New Roman" w:hAnsi="Times New Roman" w:cs="Times New Roman"/>
          <w:sz w:val="24"/>
          <w:szCs w:val="24"/>
          <w:lang w:val="en-US" w:eastAsia="ru-RU"/>
        </w:rPr>
      </w:pPr>
      <w:r w:rsidRPr="00CC3507">
        <w:rPr>
          <w:rFonts w:ascii="Times New Roman" w:hAnsi="Times New Roman" w:cs="Times New Roman"/>
          <w:sz w:val="24"/>
          <w:szCs w:val="24"/>
          <w:lang w:val="en-US" w:eastAsia="ru-RU"/>
        </w:rPr>
        <w:t xml:space="preserve">NCC continues carrying out on securities market the mentioned types of clearing for specific instruments, which is caused by their technological specificities: </w:t>
      </w:r>
    </w:p>
    <w:p w:rsidR="00371CC9" w:rsidRPr="00CC3507" w:rsidRDefault="00371CC9" w:rsidP="00371CC9">
      <w:pPr>
        <w:widowControl w:val="0"/>
        <w:numPr>
          <w:ilvl w:val="0"/>
          <w:numId w:val="1"/>
        </w:numPr>
        <w:overflowPunct w:val="0"/>
        <w:autoSpaceDE w:val="0"/>
        <w:autoSpaceDN w:val="0"/>
        <w:adjustRightInd w:val="0"/>
        <w:spacing w:after="120" w:line="240" w:lineRule="auto"/>
        <w:ind w:hanging="359"/>
        <w:jc w:val="both"/>
        <w:textAlignment w:val="baseline"/>
        <w:rPr>
          <w:rFonts w:ascii="Times New Roman" w:eastAsia="Times New Roman" w:hAnsi="Times New Roman" w:cs="Times New Roman"/>
          <w:sz w:val="24"/>
          <w:szCs w:val="24"/>
          <w:lang w:val="en-US" w:eastAsia="ru-RU"/>
        </w:rPr>
      </w:pPr>
      <w:r w:rsidRPr="00CC3507">
        <w:rPr>
          <w:rFonts w:ascii="Times New Roman" w:eastAsia="Times New Roman" w:hAnsi="Times New Roman" w:cs="Times New Roman"/>
          <w:sz w:val="24"/>
          <w:szCs w:val="24"/>
          <w:lang w:val="en-US" w:eastAsia="ru-RU"/>
        </w:rPr>
        <w:t xml:space="preserve">on the condition of </w:t>
      </w:r>
      <w:r w:rsidR="004C7F96">
        <w:rPr>
          <w:rFonts w:ascii="Times New Roman" w:eastAsia="Times New Roman" w:hAnsi="Times New Roman" w:cs="Times New Roman"/>
          <w:sz w:val="24"/>
          <w:szCs w:val="24"/>
          <w:lang w:val="en-US" w:eastAsia="ru-RU"/>
        </w:rPr>
        <w:t xml:space="preserve">the </w:t>
      </w:r>
      <w:r w:rsidRPr="00CC3507">
        <w:rPr>
          <w:rFonts w:ascii="Times New Roman" w:eastAsia="Times New Roman" w:hAnsi="Times New Roman" w:cs="Times New Roman"/>
          <w:sz w:val="24"/>
          <w:szCs w:val="24"/>
          <w:lang w:val="en-US" w:eastAsia="ru-RU"/>
        </w:rPr>
        <w:t xml:space="preserve">full collateral, the buy-sell trades of securities are concluded, with the involvement of central counterparty (apart from the trades of distribution and repurchase of securities), with the execution on the date of conclusion; </w:t>
      </w:r>
    </w:p>
    <w:p w:rsidR="00371CC9" w:rsidRPr="00CC3507" w:rsidRDefault="00371CC9" w:rsidP="00371CC9">
      <w:pPr>
        <w:widowControl w:val="0"/>
        <w:numPr>
          <w:ilvl w:val="0"/>
          <w:numId w:val="1"/>
        </w:numPr>
        <w:overflowPunct w:val="0"/>
        <w:autoSpaceDE w:val="0"/>
        <w:autoSpaceDN w:val="0"/>
        <w:adjustRightInd w:val="0"/>
        <w:spacing w:after="120" w:line="240" w:lineRule="auto"/>
        <w:ind w:hanging="359"/>
        <w:jc w:val="both"/>
        <w:textAlignment w:val="baseline"/>
        <w:rPr>
          <w:rFonts w:ascii="Times New Roman" w:eastAsia="Times New Roman" w:hAnsi="Times New Roman" w:cs="Times New Roman"/>
          <w:sz w:val="24"/>
          <w:szCs w:val="24"/>
          <w:lang w:val="en-US" w:eastAsia="ru-RU"/>
        </w:rPr>
      </w:pPr>
      <w:proofErr w:type="gramStart"/>
      <w:r w:rsidRPr="00CC3507">
        <w:rPr>
          <w:rFonts w:ascii="Times New Roman" w:eastAsia="Times New Roman" w:hAnsi="Times New Roman" w:cs="Times New Roman"/>
          <w:sz w:val="24"/>
          <w:szCs w:val="24"/>
          <w:lang w:val="en-US" w:eastAsia="ru-RU"/>
        </w:rPr>
        <w:t>trades</w:t>
      </w:r>
      <w:proofErr w:type="gramEnd"/>
      <w:r w:rsidRPr="00CC3507">
        <w:rPr>
          <w:rFonts w:ascii="Times New Roman" w:eastAsia="Times New Roman" w:hAnsi="Times New Roman" w:cs="Times New Roman"/>
          <w:sz w:val="24"/>
          <w:szCs w:val="24"/>
          <w:lang w:val="en-US" w:eastAsia="ru-RU"/>
        </w:rPr>
        <w:t xml:space="preserve"> without </w:t>
      </w:r>
      <w:r w:rsidR="004C7F96">
        <w:rPr>
          <w:rFonts w:ascii="Times New Roman" w:eastAsia="Times New Roman" w:hAnsi="Times New Roman" w:cs="Times New Roman"/>
          <w:sz w:val="24"/>
          <w:szCs w:val="24"/>
          <w:lang w:val="en-US" w:eastAsia="ru-RU"/>
        </w:rPr>
        <w:t xml:space="preserve">the </w:t>
      </w:r>
      <w:r w:rsidRPr="00CC3507">
        <w:rPr>
          <w:rFonts w:ascii="Times New Roman" w:eastAsia="Times New Roman" w:hAnsi="Times New Roman" w:cs="Times New Roman"/>
          <w:sz w:val="24"/>
          <w:szCs w:val="24"/>
          <w:lang w:val="en-US" w:eastAsia="ru-RU"/>
        </w:rPr>
        <w:t>initial collateral are concluded between trading members without involvement of the central counterparty. These trades are executed in</w:t>
      </w:r>
      <w:r>
        <w:rPr>
          <w:rFonts w:ascii="Times New Roman" w:eastAsia="Times New Roman" w:hAnsi="Times New Roman" w:cs="Times New Roman"/>
          <w:sz w:val="24"/>
          <w:szCs w:val="24"/>
          <w:lang w:val="en-US" w:eastAsia="ru-RU"/>
        </w:rPr>
        <w:t xml:space="preserve"> a</w:t>
      </w:r>
      <w:r w:rsidRPr="00CC3507">
        <w:rPr>
          <w:rFonts w:ascii="Times New Roman" w:eastAsia="Times New Roman" w:hAnsi="Times New Roman" w:cs="Times New Roman"/>
          <w:sz w:val="24"/>
          <w:szCs w:val="24"/>
          <w:lang w:val="en-US" w:eastAsia="ru-RU"/>
        </w:rPr>
        <w:t xml:space="preserve"> multilateral clearing </w:t>
      </w:r>
      <w:r>
        <w:rPr>
          <w:rFonts w:ascii="Times New Roman" w:eastAsia="Times New Roman" w:hAnsi="Times New Roman" w:cs="Times New Roman"/>
          <w:sz w:val="24"/>
          <w:szCs w:val="24"/>
          <w:lang w:val="en-US" w:eastAsia="ru-RU"/>
        </w:rPr>
        <w:t xml:space="preserve">order </w:t>
      </w:r>
      <w:r w:rsidRPr="00CC3507">
        <w:rPr>
          <w:rFonts w:ascii="Times New Roman" w:eastAsia="Times New Roman" w:hAnsi="Times New Roman" w:cs="Times New Roman"/>
          <w:sz w:val="24"/>
          <w:szCs w:val="24"/>
          <w:lang w:val="en-US" w:eastAsia="ru-RU"/>
        </w:rPr>
        <w:t xml:space="preserve">together with the trades, concluded with the central counterparty and with the trades REPO with the Bank of Russia. In the course of clearing session, NCC calculates net </w:t>
      </w:r>
      <w:r>
        <w:rPr>
          <w:rFonts w:ascii="Times New Roman" w:eastAsia="Times New Roman" w:hAnsi="Times New Roman" w:cs="Times New Roman"/>
          <w:sz w:val="24"/>
          <w:szCs w:val="24"/>
          <w:lang w:val="en-US" w:eastAsia="ru-RU"/>
        </w:rPr>
        <w:t>requirements</w:t>
      </w:r>
      <w:r w:rsidRPr="00CC3507">
        <w:rPr>
          <w:rFonts w:ascii="Times New Roman" w:eastAsia="Times New Roman" w:hAnsi="Times New Roman" w:cs="Times New Roman"/>
          <w:sz w:val="24"/>
          <w:szCs w:val="24"/>
          <w:lang w:val="en-US" w:eastAsia="ru-RU"/>
        </w:rPr>
        <w:t xml:space="preserve"> and net obligations in respect of every clearing member for all specified trades. Settlements on the final obligations/</w:t>
      </w:r>
      <w:r>
        <w:rPr>
          <w:rFonts w:ascii="Times New Roman" w:eastAsia="Times New Roman" w:hAnsi="Times New Roman" w:cs="Times New Roman"/>
          <w:sz w:val="24"/>
          <w:szCs w:val="24"/>
          <w:lang w:val="en-US" w:eastAsia="ru-RU"/>
        </w:rPr>
        <w:t>requirements</w:t>
      </w:r>
      <w:r w:rsidRPr="00CC3507">
        <w:rPr>
          <w:rFonts w:ascii="Times New Roman" w:eastAsia="Times New Roman" w:hAnsi="Times New Roman" w:cs="Times New Roman"/>
          <w:sz w:val="24"/>
          <w:szCs w:val="24"/>
          <w:lang w:val="en-US" w:eastAsia="ru-RU"/>
        </w:rPr>
        <w:t xml:space="preserve"> of the clearing members on specified trades are also conducted jointly.</w:t>
      </w:r>
    </w:p>
    <w:p w:rsidR="00371CC9" w:rsidRPr="00CC3507" w:rsidRDefault="00371CC9" w:rsidP="00371CC9">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p>
    <w:p w:rsidR="00371CC9" w:rsidRPr="00CC3507" w:rsidRDefault="00371CC9" w:rsidP="00371CC9">
      <w:pPr>
        <w:spacing w:after="120" w:line="240" w:lineRule="auto"/>
        <w:ind w:firstLine="567"/>
        <w:jc w:val="both"/>
        <w:rPr>
          <w:rFonts w:ascii="Times New Roman" w:hAnsi="Times New Roman" w:cs="Times New Roman"/>
          <w:sz w:val="24"/>
          <w:szCs w:val="24"/>
          <w:lang w:val="en-US" w:eastAsia="ru-RU"/>
        </w:rPr>
      </w:pPr>
      <w:r w:rsidRPr="00CC3507">
        <w:rPr>
          <w:rFonts w:ascii="Times New Roman" w:hAnsi="Times New Roman" w:cs="Times New Roman"/>
          <w:sz w:val="24"/>
          <w:szCs w:val="24"/>
          <w:lang w:val="en-US" w:eastAsia="ru-RU"/>
        </w:rPr>
        <w:t>From March 2013, NCC began realization on securities market of CJSC ‘</w:t>
      </w:r>
      <w:r>
        <w:rPr>
          <w:rFonts w:ascii="Times New Roman" w:hAnsi="Times New Roman" w:cs="Times New Roman"/>
          <w:sz w:val="24"/>
          <w:szCs w:val="24"/>
          <w:lang w:val="en-US" w:eastAsia="ru-RU"/>
        </w:rPr>
        <w:t xml:space="preserve">MICEX Stock Exchange </w:t>
      </w:r>
      <w:r w:rsidRPr="00CC3507">
        <w:rPr>
          <w:rFonts w:ascii="Times New Roman" w:hAnsi="Times New Roman" w:cs="Times New Roman"/>
          <w:sz w:val="24"/>
          <w:szCs w:val="24"/>
          <w:lang w:val="en-US" w:eastAsia="ru-RU"/>
        </w:rPr>
        <w:t xml:space="preserve">’ of the clearing with </w:t>
      </w:r>
      <w:r w:rsidR="004C7F96">
        <w:rPr>
          <w:rFonts w:ascii="Times New Roman" w:hAnsi="Times New Roman" w:cs="Times New Roman"/>
          <w:sz w:val="24"/>
          <w:szCs w:val="24"/>
          <w:lang w:val="en-US" w:eastAsia="ru-RU"/>
        </w:rPr>
        <w:t xml:space="preserve">the </w:t>
      </w:r>
      <w:r w:rsidRPr="00CC3507">
        <w:rPr>
          <w:rFonts w:ascii="Times New Roman" w:hAnsi="Times New Roman" w:cs="Times New Roman"/>
          <w:sz w:val="24"/>
          <w:szCs w:val="24"/>
          <w:lang w:val="en-US" w:eastAsia="ru-RU"/>
        </w:rPr>
        <w:t xml:space="preserve">partial </w:t>
      </w:r>
      <w:r>
        <w:rPr>
          <w:rFonts w:ascii="Times New Roman" w:hAnsi="Times New Roman" w:cs="Times New Roman"/>
          <w:sz w:val="24"/>
          <w:szCs w:val="24"/>
          <w:lang w:val="en-US" w:eastAsia="ru-RU"/>
        </w:rPr>
        <w:t>preliminary</w:t>
      </w:r>
      <w:r w:rsidRPr="00CC3507">
        <w:rPr>
          <w:rFonts w:ascii="Times New Roman" w:hAnsi="Times New Roman" w:cs="Times New Roman"/>
          <w:sz w:val="24"/>
          <w:szCs w:val="24"/>
          <w:lang w:val="en-US" w:eastAsia="ru-RU"/>
        </w:rPr>
        <w:t xml:space="preserve"> collateral on the trades, concluded at the exchange trading in the mode of ‘T+2’. The clearing with </w:t>
      </w:r>
      <w:r w:rsidR="004C7F96">
        <w:rPr>
          <w:rFonts w:ascii="Times New Roman" w:hAnsi="Times New Roman" w:cs="Times New Roman"/>
          <w:sz w:val="24"/>
          <w:szCs w:val="24"/>
          <w:lang w:val="en-US" w:eastAsia="ru-RU"/>
        </w:rPr>
        <w:t xml:space="preserve">the </w:t>
      </w:r>
      <w:r w:rsidRPr="00CC3507">
        <w:rPr>
          <w:rFonts w:ascii="Times New Roman" w:hAnsi="Times New Roman" w:cs="Times New Roman"/>
          <w:sz w:val="24"/>
          <w:szCs w:val="24"/>
          <w:lang w:val="en-US" w:eastAsia="ru-RU"/>
        </w:rPr>
        <w:t xml:space="preserve">partial </w:t>
      </w:r>
      <w:r w:rsidR="00FB2750">
        <w:rPr>
          <w:rFonts w:ascii="Times New Roman" w:hAnsi="Times New Roman" w:cs="Times New Roman"/>
          <w:sz w:val="24"/>
          <w:szCs w:val="24"/>
          <w:lang w:val="en-US" w:eastAsia="ru-RU"/>
        </w:rPr>
        <w:t>preliminary</w:t>
      </w:r>
      <w:r w:rsidRPr="00CC3507">
        <w:rPr>
          <w:rFonts w:ascii="Times New Roman" w:hAnsi="Times New Roman" w:cs="Times New Roman"/>
          <w:sz w:val="24"/>
          <w:szCs w:val="24"/>
          <w:lang w:val="en-US" w:eastAsia="ru-RU"/>
        </w:rPr>
        <w:t xml:space="preserve"> collateral on the securities market of the Group allows the following:</w:t>
      </w:r>
    </w:p>
    <w:p w:rsidR="00371CC9" w:rsidRPr="00CC3507" w:rsidRDefault="00371CC9" w:rsidP="00371CC9">
      <w:pPr>
        <w:numPr>
          <w:ilvl w:val="1"/>
          <w:numId w:val="10"/>
        </w:numPr>
        <w:spacing w:after="120" w:line="240" w:lineRule="auto"/>
        <w:ind w:left="1417" w:hanging="567"/>
        <w:contextualSpacing/>
        <w:jc w:val="both"/>
        <w:rPr>
          <w:rFonts w:ascii="Times New Roman" w:hAnsi="Times New Roman" w:cs="Times New Roman"/>
          <w:sz w:val="24"/>
          <w:szCs w:val="24"/>
          <w:lang w:val="en-US"/>
        </w:rPr>
      </w:pPr>
      <w:r w:rsidRPr="00CC3507">
        <w:rPr>
          <w:rFonts w:ascii="Times New Roman" w:hAnsi="Times New Roman" w:cs="Times New Roman"/>
          <w:sz w:val="24"/>
          <w:szCs w:val="24"/>
          <w:lang w:val="en-US"/>
        </w:rPr>
        <w:t xml:space="preserve">to enlarge, both qualitatively and quantitatively, the spectrum of traded instruments </w:t>
      </w:r>
      <w:r>
        <w:rPr>
          <w:rFonts w:ascii="Times New Roman" w:hAnsi="Times New Roman" w:cs="Times New Roman"/>
          <w:sz w:val="24"/>
          <w:szCs w:val="24"/>
          <w:lang w:val="en-US"/>
        </w:rPr>
        <w:t>on</w:t>
      </w:r>
      <w:r w:rsidRPr="00CC3507">
        <w:rPr>
          <w:rFonts w:ascii="Times New Roman" w:hAnsi="Times New Roman" w:cs="Times New Roman"/>
          <w:sz w:val="24"/>
          <w:szCs w:val="24"/>
          <w:lang w:val="en-US"/>
        </w:rPr>
        <w:t xml:space="preserve"> the securities market;</w:t>
      </w:r>
    </w:p>
    <w:p w:rsidR="00371CC9" w:rsidRPr="00CC3507" w:rsidRDefault="00371CC9" w:rsidP="00371CC9">
      <w:pPr>
        <w:numPr>
          <w:ilvl w:val="1"/>
          <w:numId w:val="10"/>
        </w:numPr>
        <w:spacing w:after="120" w:line="240" w:lineRule="auto"/>
        <w:ind w:left="1417" w:hanging="567"/>
        <w:contextualSpacing/>
        <w:jc w:val="both"/>
        <w:rPr>
          <w:rFonts w:ascii="Times New Roman" w:hAnsi="Times New Roman" w:cs="Times New Roman"/>
          <w:sz w:val="24"/>
          <w:szCs w:val="24"/>
          <w:lang w:val="en-US"/>
        </w:rPr>
      </w:pPr>
      <w:r w:rsidRPr="00CC3507">
        <w:rPr>
          <w:rFonts w:ascii="Times New Roman" w:hAnsi="Times New Roman" w:cs="Times New Roman"/>
          <w:sz w:val="24"/>
          <w:szCs w:val="24"/>
          <w:lang w:val="en-US"/>
        </w:rPr>
        <w:t xml:space="preserve">to reduce costs of  market members on </w:t>
      </w:r>
      <w:r>
        <w:rPr>
          <w:rFonts w:ascii="Times New Roman" w:hAnsi="Times New Roman" w:cs="Times New Roman"/>
          <w:sz w:val="24"/>
          <w:szCs w:val="24"/>
          <w:lang w:val="en-US"/>
        </w:rPr>
        <w:t>transactions’</w:t>
      </w:r>
      <w:r w:rsidRPr="00CC3507">
        <w:rPr>
          <w:rFonts w:ascii="Times New Roman" w:hAnsi="Times New Roman" w:cs="Times New Roman"/>
          <w:sz w:val="24"/>
          <w:szCs w:val="24"/>
          <w:lang w:val="en-US"/>
        </w:rPr>
        <w:t xml:space="preserve"> funding; </w:t>
      </w:r>
    </w:p>
    <w:p w:rsidR="00371CC9" w:rsidRPr="00CC3507" w:rsidRDefault="00371CC9" w:rsidP="00371CC9">
      <w:pPr>
        <w:numPr>
          <w:ilvl w:val="1"/>
          <w:numId w:val="10"/>
        </w:numPr>
        <w:spacing w:after="120" w:line="240" w:lineRule="auto"/>
        <w:ind w:left="1417" w:hanging="567"/>
        <w:contextualSpacing/>
        <w:jc w:val="both"/>
        <w:rPr>
          <w:rFonts w:ascii="Times New Roman" w:hAnsi="Times New Roman" w:cs="Times New Roman"/>
          <w:sz w:val="24"/>
          <w:szCs w:val="24"/>
          <w:lang w:val="en-US"/>
        </w:rPr>
      </w:pPr>
      <w:r w:rsidRPr="00CC3507">
        <w:rPr>
          <w:rFonts w:ascii="Times New Roman" w:hAnsi="Times New Roman" w:cs="Times New Roman"/>
          <w:sz w:val="24"/>
          <w:szCs w:val="24"/>
          <w:lang w:val="en-US"/>
        </w:rPr>
        <w:t>to increase market liquidity;</w:t>
      </w:r>
    </w:p>
    <w:p w:rsidR="00371CC9" w:rsidRPr="00CC3507" w:rsidRDefault="00371CC9" w:rsidP="00371CC9">
      <w:pPr>
        <w:numPr>
          <w:ilvl w:val="1"/>
          <w:numId w:val="10"/>
        </w:numPr>
        <w:spacing w:after="120" w:line="240" w:lineRule="auto"/>
        <w:ind w:left="1417" w:hanging="567"/>
        <w:contextualSpacing/>
        <w:jc w:val="both"/>
        <w:rPr>
          <w:rFonts w:ascii="Times New Roman" w:hAnsi="Times New Roman" w:cs="Times New Roman"/>
          <w:sz w:val="24"/>
          <w:szCs w:val="24"/>
          <w:lang w:val="en-US" w:eastAsia="ru-RU"/>
        </w:rPr>
      </w:pPr>
      <w:proofErr w:type="gramStart"/>
      <w:r w:rsidRPr="00CC3507">
        <w:rPr>
          <w:rFonts w:ascii="Times New Roman" w:hAnsi="Times New Roman" w:cs="Times New Roman"/>
          <w:sz w:val="24"/>
          <w:szCs w:val="24"/>
          <w:lang w:val="en-US"/>
        </w:rPr>
        <w:t>to</w:t>
      </w:r>
      <w:proofErr w:type="gramEnd"/>
      <w:r w:rsidRPr="00CC3507">
        <w:rPr>
          <w:rFonts w:ascii="Times New Roman" w:hAnsi="Times New Roman" w:cs="Times New Roman"/>
          <w:sz w:val="24"/>
          <w:szCs w:val="24"/>
          <w:lang w:val="en-US"/>
        </w:rPr>
        <w:t xml:space="preserve"> make customer services less costly.</w:t>
      </w:r>
    </w:p>
    <w:p w:rsidR="00371CC9" w:rsidRPr="00CC3507" w:rsidRDefault="00371CC9" w:rsidP="00371CC9">
      <w:pPr>
        <w:spacing w:after="120" w:line="240" w:lineRule="auto"/>
        <w:ind w:left="1069" w:firstLine="567"/>
        <w:contextualSpacing/>
        <w:jc w:val="both"/>
        <w:rPr>
          <w:rFonts w:ascii="Times New Roman" w:hAnsi="Times New Roman" w:cs="Times New Roman"/>
          <w:sz w:val="24"/>
          <w:szCs w:val="24"/>
          <w:lang w:val="en-US" w:eastAsia="ru-RU"/>
        </w:rPr>
      </w:pPr>
    </w:p>
    <w:p w:rsidR="00371CC9" w:rsidRPr="00CC3507" w:rsidRDefault="00371CC9" w:rsidP="00371CC9">
      <w:pPr>
        <w:spacing w:after="120" w:line="240" w:lineRule="auto"/>
        <w:ind w:firstLine="567"/>
        <w:jc w:val="both"/>
        <w:rPr>
          <w:rFonts w:ascii="Times New Roman" w:hAnsi="Times New Roman" w:cs="Times New Roman"/>
          <w:sz w:val="24"/>
          <w:szCs w:val="24"/>
          <w:lang w:val="en-US" w:eastAsia="ru-RU"/>
        </w:rPr>
      </w:pPr>
      <w:r w:rsidRPr="00CC3507">
        <w:rPr>
          <w:rFonts w:ascii="Times New Roman" w:hAnsi="Times New Roman" w:cs="Times New Roman"/>
          <w:sz w:val="24"/>
          <w:szCs w:val="24"/>
          <w:lang w:val="en-US" w:eastAsia="ru-RU"/>
        </w:rPr>
        <w:t xml:space="preserve">In the trading mode </w:t>
      </w:r>
      <w:r w:rsidR="004C7F96">
        <w:rPr>
          <w:rFonts w:ascii="Times New Roman" w:hAnsi="Times New Roman" w:cs="Times New Roman"/>
          <w:sz w:val="24"/>
          <w:szCs w:val="24"/>
          <w:lang w:val="en-US" w:eastAsia="ru-RU"/>
        </w:rPr>
        <w:t>with the</w:t>
      </w:r>
      <w:r w:rsidRPr="00CC3507">
        <w:rPr>
          <w:rFonts w:ascii="Times New Roman" w:hAnsi="Times New Roman" w:cs="Times New Roman"/>
          <w:sz w:val="24"/>
          <w:szCs w:val="24"/>
          <w:lang w:val="en-US" w:eastAsia="ru-RU"/>
        </w:rPr>
        <w:t xml:space="preserve"> partial collateral, all trades are concluded with the NCC, as with the central counterparty guaranteeing execution of obligations for every fair clearing member. In order to get access to the clearing with </w:t>
      </w:r>
      <w:r w:rsidR="004C7F96">
        <w:rPr>
          <w:rFonts w:ascii="Times New Roman" w:hAnsi="Times New Roman" w:cs="Times New Roman"/>
          <w:sz w:val="24"/>
          <w:szCs w:val="24"/>
          <w:lang w:val="en-US" w:eastAsia="ru-RU"/>
        </w:rPr>
        <w:t xml:space="preserve">the </w:t>
      </w:r>
      <w:r w:rsidRPr="00CC3507">
        <w:rPr>
          <w:rFonts w:ascii="Times New Roman" w:hAnsi="Times New Roman" w:cs="Times New Roman"/>
          <w:sz w:val="24"/>
          <w:szCs w:val="24"/>
          <w:lang w:val="en-US" w:eastAsia="ru-RU"/>
        </w:rPr>
        <w:t xml:space="preserve">partial collateral, </w:t>
      </w:r>
      <w:r w:rsidR="004C7F96">
        <w:rPr>
          <w:rFonts w:ascii="Times New Roman" w:hAnsi="Times New Roman" w:cs="Times New Roman"/>
          <w:sz w:val="24"/>
          <w:szCs w:val="24"/>
          <w:lang w:val="en-US" w:eastAsia="ru-RU"/>
        </w:rPr>
        <w:t>a</w:t>
      </w:r>
      <w:r w:rsidRPr="00CC3507">
        <w:rPr>
          <w:rFonts w:ascii="Times New Roman" w:hAnsi="Times New Roman" w:cs="Times New Roman"/>
          <w:sz w:val="24"/>
          <w:szCs w:val="24"/>
          <w:lang w:val="en-US" w:eastAsia="ru-RU"/>
        </w:rPr>
        <w:t xml:space="preserve"> clearing member must make a payment to the Fund for Financial Stability</w:t>
      </w:r>
      <w:r>
        <w:rPr>
          <w:rFonts w:ascii="Times New Roman" w:hAnsi="Times New Roman" w:cs="Times New Roman"/>
          <w:sz w:val="24"/>
          <w:szCs w:val="24"/>
          <w:lang w:val="en-US" w:eastAsia="ru-RU"/>
        </w:rPr>
        <w:t xml:space="preserve"> (FFS)</w:t>
      </w:r>
      <w:r w:rsidRPr="00CC3507">
        <w:rPr>
          <w:rFonts w:ascii="Times New Roman" w:hAnsi="Times New Roman" w:cs="Times New Roman"/>
          <w:sz w:val="24"/>
          <w:szCs w:val="24"/>
          <w:lang w:val="en-US" w:eastAsia="ru-RU"/>
        </w:rPr>
        <w:t xml:space="preserve">. The access to the clearing with </w:t>
      </w:r>
      <w:r w:rsidR="004C7F96">
        <w:rPr>
          <w:rFonts w:ascii="Times New Roman" w:hAnsi="Times New Roman" w:cs="Times New Roman"/>
          <w:sz w:val="24"/>
          <w:szCs w:val="24"/>
          <w:lang w:val="en-US" w:eastAsia="ru-RU"/>
        </w:rPr>
        <w:t xml:space="preserve">the </w:t>
      </w:r>
      <w:r w:rsidRPr="00CC3507">
        <w:rPr>
          <w:rFonts w:ascii="Times New Roman" w:hAnsi="Times New Roman" w:cs="Times New Roman"/>
          <w:sz w:val="24"/>
          <w:szCs w:val="24"/>
          <w:lang w:val="en-US" w:eastAsia="ru-RU"/>
        </w:rPr>
        <w:t xml:space="preserve">partial collateral depends on the category of clearing member: </w:t>
      </w:r>
    </w:p>
    <w:p w:rsidR="00371CC9" w:rsidRPr="00CC3507" w:rsidRDefault="00371CC9" w:rsidP="00371CC9">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p>
    <w:tbl>
      <w:tblPr>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DE9D9"/>
        <w:tblCellMar>
          <w:left w:w="0" w:type="dxa"/>
          <w:right w:w="0" w:type="dxa"/>
        </w:tblCellMar>
        <w:tblLook w:val="0600" w:firstRow="0" w:lastRow="0" w:firstColumn="0" w:lastColumn="0" w:noHBand="1" w:noVBand="1"/>
      </w:tblPr>
      <w:tblGrid>
        <w:gridCol w:w="4227"/>
        <w:gridCol w:w="1244"/>
        <w:gridCol w:w="1843"/>
        <w:gridCol w:w="2126"/>
      </w:tblGrid>
      <w:tr w:rsidR="00371CC9" w:rsidRPr="009F55B7" w:rsidTr="00371CC9">
        <w:trPr>
          <w:trHeight w:val="586"/>
        </w:trPr>
        <w:tc>
          <w:tcPr>
            <w:tcW w:w="9440" w:type="dxa"/>
            <w:gridSpan w:val="4"/>
            <w:tcBorders>
              <w:bottom w:val="single" w:sz="8" w:space="0" w:color="000000"/>
            </w:tcBorders>
            <w:shd w:val="clear" w:color="auto" w:fill="auto"/>
            <w:tcMar>
              <w:top w:w="15" w:type="dxa"/>
              <w:left w:w="84" w:type="dxa"/>
              <w:bottom w:w="0" w:type="dxa"/>
              <w:right w:w="84" w:type="dxa"/>
            </w:tcMar>
            <w:vAlign w:val="center"/>
          </w:tcPr>
          <w:p w:rsidR="00371CC9" w:rsidRPr="00CC3507" w:rsidRDefault="00371CC9" w:rsidP="00371CC9">
            <w:pPr>
              <w:spacing w:before="100" w:after="0" w:line="240" w:lineRule="auto"/>
              <w:jc w:val="center"/>
              <w:rPr>
                <w:rFonts w:ascii="Times New Roman" w:hAnsi="Times New Roman" w:cs="Times New Roman"/>
                <w:iCs/>
                <w:sz w:val="24"/>
                <w:szCs w:val="24"/>
                <w:lang w:val="en-US" w:eastAsia="ru-RU"/>
              </w:rPr>
            </w:pPr>
            <w:r w:rsidRPr="00CC3507">
              <w:rPr>
                <w:rFonts w:ascii="Times New Roman" w:hAnsi="Times New Roman" w:cs="Times New Roman"/>
                <w:b/>
                <w:bCs/>
                <w:iCs/>
                <w:sz w:val="24"/>
                <w:szCs w:val="24"/>
                <w:lang w:val="en-US" w:eastAsia="ru-RU"/>
              </w:rPr>
              <w:t>The condition for a category</w:t>
            </w:r>
            <w:r>
              <w:rPr>
                <w:rFonts w:ascii="Times New Roman" w:hAnsi="Times New Roman" w:cs="Times New Roman"/>
                <w:b/>
                <w:bCs/>
                <w:iCs/>
                <w:sz w:val="24"/>
                <w:szCs w:val="24"/>
                <w:lang w:val="en-US" w:eastAsia="ru-RU"/>
              </w:rPr>
              <w:t xml:space="preserve"> assigning</w:t>
            </w:r>
          </w:p>
        </w:tc>
      </w:tr>
      <w:tr w:rsidR="00371CC9" w:rsidRPr="00CC3507" w:rsidTr="00371CC9">
        <w:trPr>
          <w:trHeight w:val="586"/>
        </w:trPr>
        <w:tc>
          <w:tcPr>
            <w:tcW w:w="4227" w:type="dxa"/>
            <w:shd w:val="clear" w:color="auto" w:fill="auto"/>
            <w:tcMar>
              <w:top w:w="15" w:type="dxa"/>
              <w:left w:w="84" w:type="dxa"/>
              <w:bottom w:w="0" w:type="dxa"/>
              <w:right w:w="84" w:type="dxa"/>
            </w:tcMar>
            <w:vAlign w:val="center"/>
          </w:tcPr>
          <w:p w:rsidR="00371CC9" w:rsidRPr="00CC3507" w:rsidRDefault="00371CC9" w:rsidP="00371CC9">
            <w:pPr>
              <w:spacing w:after="0" w:line="240" w:lineRule="auto"/>
              <w:jc w:val="both"/>
              <w:rPr>
                <w:rFonts w:ascii="Times New Roman" w:hAnsi="Times New Roman" w:cs="Times New Roman"/>
                <w:iCs/>
                <w:sz w:val="24"/>
                <w:szCs w:val="24"/>
                <w:lang w:val="en-US" w:eastAsia="ru-RU"/>
              </w:rPr>
            </w:pPr>
            <w:r w:rsidRPr="00CC3507">
              <w:rPr>
                <w:rFonts w:ascii="Times New Roman" w:hAnsi="Times New Roman" w:cs="Times New Roman"/>
                <w:iCs/>
                <w:sz w:val="24"/>
                <w:szCs w:val="24"/>
                <w:lang w:val="en-US" w:eastAsia="ru-RU"/>
              </w:rPr>
              <w:t xml:space="preserve">Payment to FFS, </w:t>
            </w:r>
            <w:proofErr w:type="spellStart"/>
            <w:r w:rsidRPr="00CC3507">
              <w:rPr>
                <w:rFonts w:ascii="Times New Roman" w:hAnsi="Times New Roman" w:cs="Times New Roman"/>
                <w:iCs/>
                <w:sz w:val="24"/>
                <w:szCs w:val="24"/>
                <w:lang w:val="en-US" w:eastAsia="ru-RU"/>
              </w:rPr>
              <w:t>mln</w:t>
            </w:r>
            <w:proofErr w:type="spellEnd"/>
            <w:r w:rsidRPr="00CC3507">
              <w:rPr>
                <w:rFonts w:ascii="Times New Roman" w:hAnsi="Times New Roman" w:cs="Times New Roman"/>
                <w:iCs/>
                <w:sz w:val="24"/>
                <w:szCs w:val="24"/>
                <w:lang w:val="en-US" w:eastAsia="ru-RU"/>
              </w:rPr>
              <w:t xml:space="preserve">. </w:t>
            </w:r>
            <w:proofErr w:type="spellStart"/>
            <w:r w:rsidRPr="00CC3507">
              <w:rPr>
                <w:rFonts w:ascii="Times New Roman" w:hAnsi="Times New Roman" w:cs="Times New Roman"/>
                <w:iCs/>
                <w:sz w:val="24"/>
                <w:szCs w:val="24"/>
                <w:lang w:val="en-US" w:eastAsia="ru-RU"/>
              </w:rPr>
              <w:t>roubles</w:t>
            </w:r>
            <w:proofErr w:type="spellEnd"/>
          </w:p>
        </w:tc>
        <w:tc>
          <w:tcPr>
            <w:tcW w:w="1244" w:type="dxa"/>
            <w:shd w:val="clear" w:color="auto" w:fill="auto"/>
            <w:tcMar>
              <w:top w:w="15" w:type="dxa"/>
              <w:left w:w="84" w:type="dxa"/>
              <w:bottom w:w="0" w:type="dxa"/>
              <w:right w:w="84" w:type="dxa"/>
            </w:tcMar>
            <w:vAlign w:val="center"/>
          </w:tcPr>
          <w:p w:rsidR="00371CC9" w:rsidRPr="00CC3507" w:rsidRDefault="00371CC9" w:rsidP="00371CC9">
            <w:pPr>
              <w:spacing w:after="0" w:line="240" w:lineRule="auto"/>
              <w:jc w:val="both"/>
              <w:rPr>
                <w:rFonts w:ascii="Times New Roman" w:hAnsi="Times New Roman" w:cs="Times New Roman"/>
                <w:iCs/>
                <w:sz w:val="24"/>
                <w:szCs w:val="24"/>
                <w:lang w:val="en-US" w:eastAsia="ru-RU"/>
              </w:rPr>
            </w:pPr>
            <w:r w:rsidRPr="00CC3507">
              <w:rPr>
                <w:rFonts w:ascii="Times New Roman" w:hAnsi="Times New Roman" w:cs="Times New Roman"/>
                <w:iCs/>
                <w:sz w:val="24"/>
                <w:szCs w:val="24"/>
                <w:lang w:val="en-US" w:eastAsia="ru-RU"/>
              </w:rPr>
              <w:t xml:space="preserve">5 or 10 </w:t>
            </w:r>
          </w:p>
        </w:tc>
        <w:tc>
          <w:tcPr>
            <w:tcW w:w="1843" w:type="dxa"/>
            <w:shd w:val="clear" w:color="auto" w:fill="auto"/>
            <w:tcMar>
              <w:top w:w="15" w:type="dxa"/>
              <w:left w:w="84" w:type="dxa"/>
              <w:bottom w:w="0" w:type="dxa"/>
              <w:right w:w="84" w:type="dxa"/>
            </w:tcMar>
            <w:vAlign w:val="center"/>
          </w:tcPr>
          <w:p w:rsidR="00371CC9" w:rsidRPr="00CC3507" w:rsidRDefault="00371CC9" w:rsidP="00371CC9">
            <w:pPr>
              <w:spacing w:after="0" w:line="240" w:lineRule="auto"/>
              <w:jc w:val="both"/>
              <w:rPr>
                <w:rFonts w:ascii="Times New Roman" w:hAnsi="Times New Roman" w:cs="Times New Roman"/>
                <w:iCs/>
                <w:sz w:val="24"/>
                <w:szCs w:val="24"/>
                <w:lang w:val="en-US" w:eastAsia="ru-RU"/>
              </w:rPr>
            </w:pPr>
            <w:r w:rsidRPr="00CC3507">
              <w:rPr>
                <w:rFonts w:ascii="Times New Roman" w:hAnsi="Times New Roman" w:cs="Times New Roman"/>
                <w:iCs/>
                <w:sz w:val="24"/>
                <w:szCs w:val="24"/>
                <w:lang w:val="en-US" w:eastAsia="ru-RU"/>
              </w:rPr>
              <w:t xml:space="preserve">5 or10 </w:t>
            </w:r>
          </w:p>
        </w:tc>
        <w:tc>
          <w:tcPr>
            <w:tcW w:w="2126" w:type="dxa"/>
            <w:shd w:val="clear" w:color="auto" w:fill="auto"/>
            <w:tcMar>
              <w:top w:w="15" w:type="dxa"/>
              <w:left w:w="84" w:type="dxa"/>
              <w:bottom w:w="0" w:type="dxa"/>
              <w:right w:w="84" w:type="dxa"/>
            </w:tcMar>
            <w:vAlign w:val="center"/>
          </w:tcPr>
          <w:p w:rsidR="00371CC9" w:rsidRPr="00CC3507" w:rsidRDefault="00371CC9" w:rsidP="00371CC9">
            <w:pPr>
              <w:spacing w:after="0" w:line="240" w:lineRule="auto"/>
              <w:jc w:val="both"/>
              <w:rPr>
                <w:rFonts w:ascii="Times New Roman" w:hAnsi="Times New Roman" w:cs="Times New Roman"/>
                <w:iCs/>
                <w:sz w:val="24"/>
                <w:szCs w:val="24"/>
                <w:lang w:val="en-US" w:eastAsia="ru-RU"/>
              </w:rPr>
            </w:pPr>
            <w:r w:rsidRPr="00CC3507">
              <w:rPr>
                <w:rFonts w:ascii="Times New Roman" w:hAnsi="Times New Roman" w:cs="Times New Roman"/>
                <w:iCs/>
                <w:sz w:val="24"/>
                <w:szCs w:val="24"/>
                <w:lang w:val="en-US" w:eastAsia="ru-RU"/>
              </w:rPr>
              <w:t>no</w:t>
            </w:r>
          </w:p>
        </w:tc>
      </w:tr>
      <w:tr w:rsidR="00371CC9" w:rsidRPr="00CC3507" w:rsidTr="00371CC9">
        <w:trPr>
          <w:trHeight w:val="1172"/>
        </w:trPr>
        <w:tc>
          <w:tcPr>
            <w:tcW w:w="4227" w:type="dxa"/>
            <w:shd w:val="clear" w:color="auto" w:fill="auto"/>
            <w:tcMar>
              <w:top w:w="15" w:type="dxa"/>
              <w:left w:w="84" w:type="dxa"/>
              <w:bottom w:w="0" w:type="dxa"/>
              <w:right w:w="84" w:type="dxa"/>
            </w:tcMar>
            <w:vAlign w:val="center"/>
          </w:tcPr>
          <w:p w:rsidR="00371CC9" w:rsidRPr="00CC3507" w:rsidRDefault="00371CC9" w:rsidP="00371CC9">
            <w:pPr>
              <w:spacing w:after="0" w:line="240" w:lineRule="auto"/>
              <w:jc w:val="both"/>
              <w:rPr>
                <w:rFonts w:ascii="Times New Roman" w:hAnsi="Times New Roman" w:cs="Times New Roman"/>
                <w:iCs/>
                <w:sz w:val="24"/>
                <w:szCs w:val="24"/>
                <w:lang w:val="en-US" w:eastAsia="ru-RU"/>
              </w:rPr>
            </w:pPr>
            <w:r w:rsidRPr="00CC3507">
              <w:rPr>
                <w:rFonts w:ascii="Times New Roman" w:hAnsi="Times New Roman" w:cs="Times New Roman"/>
                <w:iCs/>
                <w:sz w:val="24"/>
                <w:szCs w:val="24"/>
                <w:lang w:val="en-US" w:eastAsia="ru-RU"/>
              </w:rPr>
              <w:t xml:space="preserve"> </w:t>
            </w:r>
            <w:r>
              <w:rPr>
                <w:rFonts w:ascii="Times New Roman" w:hAnsi="Times New Roman" w:cs="Times New Roman"/>
                <w:iCs/>
                <w:sz w:val="24"/>
                <w:szCs w:val="24"/>
                <w:lang w:val="en-US" w:eastAsia="ru-RU"/>
              </w:rPr>
              <w:t xml:space="preserve">Owned </w:t>
            </w:r>
            <w:r w:rsidRPr="00CC3507">
              <w:rPr>
                <w:rFonts w:ascii="Times New Roman" w:hAnsi="Times New Roman" w:cs="Times New Roman"/>
                <w:iCs/>
                <w:sz w:val="24"/>
                <w:szCs w:val="24"/>
                <w:lang w:val="en-US" w:eastAsia="ru-RU"/>
              </w:rPr>
              <w:t xml:space="preserve">funds in accordance with the </w:t>
            </w:r>
            <w:r>
              <w:rPr>
                <w:rFonts w:ascii="Times New Roman" w:hAnsi="Times New Roman" w:cs="Times New Roman"/>
                <w:iCs/>
                <w:sz w:val="24"/>
                <w:szCs w:val="24"/>
                <w:lang w:val="en-US" w:eastAsia="ru-RU"/>
              </w:rPr>
              <w:t xml:space="preserve">accounting </w:t>
            </w:r>
            <w:r w:rsidRPr="00CC3507">
              <w:rPr>
                <w:rFonts w:ascii="Times New Roman" w:hAnsi="Times New Roman" w:cs="Times New Roman"/>
                <w:iCs/>
                <w:sz w:val="24"/>
                <w:szCs w:val="24"/>
                <w:lang w:val="en-US" w:eastAsia="ru-RU"/>
              </w:rPr>
              <w:t xml:space="preserve">report, </w:t>
            </w:r>
            <w:proofErr w:type="spellStart"/>
            <w:r w:rsidRPr="00CC3507">
              <w:rPr>
                <w:rFonts w:ascii="Times New Roman" w:hAnsi="Times New Roman" w:cs="Times New Roman"/>
                <w:iCs/>
                <w:sz w:val="24"/>
                <w:szCs w:val="24"/>
                <w:lang w:val="en-US" w:eastAsia="ru-RU"/>
              </w:rPr>
              <w:t>mln</w:t>
            </w:r>
            <w:proofErr w:type="spellEnd"/>
            <w:r w:rsidRPr="00CC3507">
              <w:rPr>
                <w:rFonts w:ascii="Times New Roman" w:hAnsi="Times New Roman" w:cs="Times New Roman"/>
                <w:iCs/>
                <w:sz w:val="24"/>
                <w:szCs w:val="24"/>
                <w:lang w:val="en-US" w:eastAsia="ru-RU"/>
              </w:rPr>
              <w:t xml:space="preserve">. </w:t>
            </w:r>
            <w:proofErr w:type="spellStart"/>
            <w:r w:rsidRPr="00CC3507">
              <w:rPr>
                <w:rFonts w:ascii="Times New Roman" w:hAnsi="Times New Roman" w:cs="Times New Roman"/>
                <w:iCs/>
                <w:sz w:val="24"/>
                <w:szCs w:val="24"/>
                <w:lang w:val="en-US" w:eastAsia="ru-RU"/>
              </w:rPr>
              <w:t>roubles</w:t>
            </w:r>
            <w:proofErr w:type="spellEnd"/>
          </w:p>
        </w:tc>
        <w:tc>
          <w:tcPr>
            <w:tcW w:w="1244" w:type="dxa"/>
            <w:shd w:val="clear" w:color="auto" w:fill="auto"/>
            <w:tcMar>
              <w:top w:w="15" w:type="dxa"/>
              <w:left w:w="84" w:type="dxa"/>
              <w:bottom w:w="0" w:type="dxa"/>
              <w:right w:w="84" w:type="dxa"/>
            </w:tcMar>
            <w:vAlign w:val="center"/>
          </w:tcPr>
          <w:p w:rsidR="00371CC9" w:rsidRPr="00CC3507" w:rsidRDefault="00371CC9" w:rsidP="00371CC9">
            <w:pPr>
              <w:spacing w:after="0" w:line="240" w:lineRule="auto"/>
              <w:jc w:val="both"/>
              <w:rPr>
                <w:rFonts w:ascii="Times New Roman" w:hAnsi="Times New Roman" w:cs="Times New Roman"/>
                <w:iCs/>
                <w:sz w:val="24"/>
                <w:szCs w:val="24"/>
                <w:lang w:val="en-US" w:eastAsia="ru-RU"/>
              </w:rPr>
            </w:pPr>
            <w:r w:rsidRPr="00CC3507">
              <w:rPr>
                <w:rFonts w:ascii="Times New Roman" w:hAnsi="Times New Roman" w:cs="Times New Roman"/>
                <w:iCs/>
                <w:sz w:val="24"/>
                <w:szCs w:val="24"/>
                <w:lang w:val="en-US" w:eastAsia="ru-RU"/>
              </w:rPr>
              <w:t xml:space="preserve">over 180 </w:t>
            </w:r>
          </w:p>
        </w:tc>
        <w:tc>
          <w:tcPr>
            <w:tcW w:w="1843" w:type="dxa"/>
            <w:shd w:val="clear" w:color="auto" w:fill="auto"/>
            <w:tcMar>
              <w:top w:w="15" w:type="dxa"/>
              <w:left w:w="84" w:type="dxa"/>
              <w:bottom w:w="0" w:type="dxa"/>
              <w:right w:w="84" w:type="dxa"/>
            </w:tcMar>
            <w:vAlign w:val="center"/>
          </w:tcPr>
          <w:p w:rsidR="00371CC9" w:rsidRPr="00CC3507" w:rsidRDefault="00371CC9" w:rsidP="00371CC9">
            <w:pPr>
              <w:spacing w:after="0" w:line="240" w:lineRule="auto"/>
              <w:jc w:val="both"/>
              <w:rPr>
                <w:rFonts w:ascii="Times New Roman" w:hAnsi="Times New Roman" w:cs="Times New Roman"/>
                <w:iCs/>
                <w:sz w:val="24"/>
                <w:szCs w:val="24"/>
                <w:lang w:val="en-US" w:eastAsia="ru-RU"/>
              </w:rPr>
            </w:pPr>
            <w:r w:rsidRPr="00CC3507">
              <w:rPr>
                <w:rFonts w:ascii="Times New Roman" w:hAnsi="Times New Roman" w:cs="Times New Roman"/>
                <w:iCs/>
                <w:sz w:val="24"/>
                <w:szCs w:val="24"/>
                <w:lang w:val="en-US" w:eastAsia="ru-RU"/>
              </w:rPr>
              <w:t xml:space="preserve">less than 180 </w:t>
            </w:r>
          </w:p>
        </w:tc>
        <w:tc>
          <w:tcPr>
            <w:tcW w:w="2126" w:type="dxa"/>
            <w:shd w:val="clear" w:color="auto" w:fill="auto"/>
            <w:tcMar>
              <w:top w:w="15" w:type="dxa"/>
              <w:left w:w="84" w:type="dxa"/>
              <w:bottom w:w="0" w:type="dxa"/>
              <w:right w:w="84" w:type="dxa"/>
            </w:tcMar>
            <w:vAlign w:val="center"/>
          </w:tcPr>
          <w:p w:rsidR="00371CC9" w:rsidRPr="00CC3507" w:rsidRDefault="00371CC9" w:rsidP="00371CC9">
            <w:pPr>
              <w:spacing w:after="0" w:line="240" w:lineRule="auto"/>
              <w:jc w:val="both"/>
              <w:rPr>
                <w:rFonts w:ascii="Times New Roman" w:hAnsi="Times New Roman" w:cs="Times New Roman"/>
                <w:iCs/>
                <w:sz w:val="24"/>
                <w:szCs w:val="24"/>
                <w:lang w:val="en-US" w:eastAsia="ru-RU"/>
              </w:rPr>
            </w:pPr>
            <w:r w:rsidRPr="00CC3507">
              <w:rPr>
                <w:rFonts w:ascii="Times New Roman" w:hAnsi="Times New Roman" w:cs="Times New Roman"/>
                <w:iCs/>
                <w:sz w:val="24"/>
                <w:szCs w:val="24"/>
                <w:lang w:val="en-US" w:eastAsia="ru-RU"/>
              </w:rPr>
              <w:t>not important</w:t>
            </w:r>
          </w:p>
        </w:tc>
      </w:tr>
      <w:tr w:rsidR="00371CC9" w:rsidRPr="00CC3507" w:rsidTr="00371CC9">
        <w:trPr>
          <w:trHeight w:val="586"/>
        </w:trPr>
        <w:tc>
          <w:tcPr>
            <w:tcW w:w="4227" w:type="dxa"/>
            <w:shd w:val="clear" w:color="auto" w:fill="auto"/>
            <w:tcMar>
              <w:top w:w="15" w:type="dxa"/>
              <w:left w:w="84" w:type="dxa"/>
              <w:bottom w:w="0" w:type="dxa"/>
              <w:right w:w="84" w:type="dxa"/>
            </w:tcMar>
            <w:vAlign w:val="center"/>
          </w:tcPr>
          <w:p w:rsidR="00371CC9" w:rsidRPr="00CC3507" w:rsidRDefault="00371CC9" w:rsidP="00371CC9">
            <w:pPr>
              <w:spacing w:after="0" w:line="240" w:lineRule="auto"/>
              <w:jc w:val="both"/>
              <w:rPr>
                <w:rFonts w:ascii="Times New Roman" w:hAnsi="Times New Roman" w:cs="Times New Roman"/>
                <w:iCs/>
                <w:sz w:val="24"/>
                <w:szCs w:val="24"/>
                <w:lang w:val="en-US" w:eastAsia="ru-RU"/>
              </w:rPr>
            </w:pPr>
            <w:r w:rsidRPr="00CC3507">
              <w:rPr>
                <w:rFonts w:ascii="Times New Roman" w:hAnsi="Times New Roman" w:cs="Times New Roman"/>
                <w:iCs/>
                <w:sz w:val="24"/>
                <w:szCs w:val="24"/>
                <w:lang w:val="en-US" w:eastAsia="ru-RU"/>
              </w:rPr>
              <w:t>Registered TCS+</w:t>
            </w:r>
          </w:p>
        </w:tc>
        <w:tc>
          <w:tcPr>
            <w:tcW w:w="1244" w:type="dxa"/>
            <w:shd w:val="clear" w:color="auto" w:fill="auto"/>
            <w:tcMar>
              <w:top w:w="15" w:type="dxa"/>
              <w:left w:w="84" w:type="dxa"/>
              <w:bottom w:w="0" w:type="dxa"/>
              <w:right w:w="84" w:type="dxa"/>
            </w:tcMar>
            <w:vAlign w:val="center"/>
          </w:tcPr>
          <w:p w:rsidR="00371CC9" w:rsidRPr="00CC3507" w:rsidRDefault="00371CC9" w:rsidP="00371CC9">
            <w:pPr>
              <w:spacing w:after="0" w:line="240" w:lineRule="auto"/>
              <w:jc w:val="both"/>
              <w:rPr>
                <w:rFonts w:ascii="Times New Roman" w:hAnsi="Times New Roman" w:cs="Times New Roman"/>
                <w:iCs/>
                <w:sz w:val="24"/>
                <w:szCs w:val="24"/>
                <w:lang w:val="en-US" w:eastAsia="ru-RU"/>
              </w:rPr>
            </w:pPr>
            <w:r w:rsidRPr="00CC3507">
              <w:rPr>
                <w:rFonts w:ascii="Times New Roman" w:hAnsi="Times New Roman" w:cs="Times New Roman"/>
                <w:iCs/>
                <w:sz w:val="24"/>
                <w:szCs w:val="24"/>
                <w:lang w:val="en-US" w:eastAsia="ru-RU"/>
              </w:rPr>
              <w:t>Yes</w:t>
            </w:r>
          </w:p>
        </w:tc>
        <w:tc>
          <w:tcPr>
            <w:tcW w:w="1843" w:type="dxa"/>
            <w:shd w:val="clear" w:color="auto" w:fill="auto"/>
            <w:tcMar>
              <w:top w:w="15" w:type="dxa"/>
              <w:left w:w="84" w:type="dxa"/>
              <w:bottom w:w="0" w:type="dxa"/>
              <w:right w:w="84" w:type="dxa"/>
            </w:tcMar>
            <w:vAlign w:val="center"/>
          </w:tcPr>
          <w:p w:rsidR="00371CC9" w:rsidRPr="00CC3507" w:rsidRDefault="00371CC9" w:rsidP="00371CC9">
            <w:pPr>
              <w:spacing w:after="0" w:line="240" w:lineRule="auto"/>
              <w:jc w:val="both"/>
              <w:rPr>
                <w:rFonts w:ascii="Times New Roman" w:hAnsi="Times New Roman" w:cs="Times New Roman"/>
                <w:iCs/>
                <w:sz w:val="24"/>
                <w:szCs w:val="24"/>
                <w:lang w:val="en-US" w:eastAsia="ru-RU"/>
              </w:rPr>
            </w:pPr>
            <w:r w:rsidRPr="00CC3507">
              <w:rPr>
                <w:rFonts w:ascii="Times New Roman" w:hAnsi="Times New Roman" w:cs="Times New Roman"/>
                <w:iCs/>
                <w:sz w:val="24"/>
                <w:szCs w:val="24"/>
                <w:lang w:val="en-US" w:eastAsia="ru-RU"/>
              </w:rPr>
              <w:t>yes</w:t>
            </w:r>
          </w:p>
        </w:tc>
        <w:tc>
          <w:tcPr>
            <w:tcW w:w="2126" w:type="dxa"/>
            <w:shd w:val="clear" w:color="auto" w:fill="auto"/>
            <w:tcMar>
              <w:top w:w="15" w:type="dxa"/>
              <w:left w:w="84" w:type="dxa"/>
              <w:bottom w:w="0" w:type="dxa"/>
              <w:right w:w="84" w:type="dxa"/>
            </w:tcMar>
            <w:vAlign w:val="center"/>
          </w:tcPr>
          <w:p w:rsidR="00371CC9" w:rsidRPr="00CC3507" w:rsidRDefault="00371CC9" w:rsidP="00371CC9">
            <w:pPr>
              <w:spacing w:after="0" w:line="240" w:lineRule="auto"/>
              <w:jc w:val="both"/>
              <w:rPr>
                <w:rFonts w:ascii="Times New Roman" w:hAnsi="Times New Roman" w:cs="Times New Roman"/>
                <w:iCs/>
                <w:sz w:val="24"/>
                <w:szCs w:val="24"/>
                <w:lang w:val="en-US" w:eastAsia="ru-RU"/>
              </w:rPr>
            </w:pPr>
            <w:r w:rsidRPr="00CC3507">
              <w:rPr>
                <w:rFonts w:ascii="Times New Roman" w:hAnsi="Times New Roman" w:cs="Times New Roman"/>
                <w:iCs/>
                <w:sz w:val="24"/>
                <w:szCs w:val="24"/>
                <w:lang w:val="en-US" w:eastAsia="ru-RU"/>
              </w:rPr>
              <w:t>not important</w:t>
            </w:r>
          </w:p>
        </w:tc>
      </w:tr>
      <w:tr w:rsidR="00371CC9" w:rsidRPr="00CC3507" w:rsidTr="00371CC9">
        <w:trPr>
          <w:trHeight w:val="586"/>
        </w:trPr>
        <w:tc>
          <w:tcPr>
            <w:tcW w:w="4227" w:type="dxa"/>
            <w:shd w:val="clear" w:color="auto" w:fill="auto"/>
            <w:tcMar>
              <w:top w:w="15" w:type="dxa"/>
              <w:left w:w="84" w:type="dxa"/>
              <w:bottom w:w="0" w:type="dxa"/>
              <w:right w:w="84" w:type="dxa"/>
            </w:tcMar>
            <w:vAlign w:val="center"/>
          </w:tcPr>
          <w:p w:rsidR="00371CC9" w:rsidRPr="00CC3507" w:rsidRDefault="00371CC9" w:rsidP="00371CC9">
            <w:pPr>
              <w:spacing w:after="0" w:line="240" w:lineRule="auto"/>
              <w:jc w:val="both"/>
              <w:rPr>
                <w:rFonts w:ascii="Times New Roman" w:hAnsi="Times New Roman" w:cs="Times New Roman"/>
                <w:iCs/>
                <w:sz w:val="24"/>
                <w:szCs w:val="24"/>
                <w:lang w:val="en-US" w:eastAsia="ru-RU"/>
              </w:rPr>
            </w:pPr>
            <w:r w:rsidRPr="00CC3507">
              <w:rPr>
                <w:rFonts w:ascii="Times New Roman" w:hAnsi="Times New Roman" w:cs="Times New Roman"/>
                <w:b/>
                <w:bCs/>
                <w:iCs/>
                <w:sz w:val="24"/>
                <w:szCs w:val="24"/>
                <w:lang w:val="en-US" w:eastAsia="ru-RU"/>
              </w:rPr>
              <w:t xml:space="preserve">Category </w:t>
            </w:r>
            <w:r>
              <w:rPr>
                <w:rFonts w:ascii="Times New Roman" w:hAnsi="Times New Roman" w:cs="Times New Roman"/>
                <w:b/>
                <w:bCs/>
                <w:iCs/>
                <w:sz w:val="24"/>
                <w:szCs w:val="24"/>
                <w:lang w:val="en-US" w:eastAsia="ru-RU"/>
              </w:rPr>
              <w:t>assigned</w:t>
            </w:r>
            <w:r w:rsidRPr="00CC3507">
              <w:rPr>
                <w:rFonts w:ascii="Times New Roman" w:hAnsi="Times New Roman" w:cs="Times New Roman"/>
                <w:b/>
                <w:bCs/>
                <w:iCs/>
                <w:sz w:val="24"/>
                <w:szCs w:val="24"/>
                <w:lang w:val="en-US" w:eastAsia="ru-RU"/>
              </w:rPr>
              <w:t>:</w:t>
            </w:r>
          </w:p>
        </w:tc>
        <w:tc>
          <w:tcPr>
            <w:tcW w:w="1244" w:type="dxa"/>
            <w:shd w:val="clear" w:color="auto" w:fill="auto"/>
            <w:tcMar>
              <w:top w:w="15" w:type="dxa"/>
              <w:left w:w="84" w:type="dxa"/>
              <w:bottom w:w="0" w:type="dxa"/>
              <w:right w:w="84" w:type="dxa"/>
            </w:tcMar>
            <w:vAlign w:val="center"/>
          </w:tcPr>
          <w:p w:rsidR="00371CC9" w:rsidRPr="00CC3507" w:rsidRDefault="00371CC9" w:rsidP="00371CC9">
            <w:pPr>
              <w:spacing w:after="0" w:line="240" w:lineRule="auto"/>
              <w:jc w:val="both"/>
              <w:rPr>
                <w:rFonts w:ascii="Times New Roman" w:hAnsi="Times New Roman" w:cs="Times New Roman"/>
                <w:iCs/>
                <w:sz w:val="24"/>
                <w:szCs w:val="24"/>
                <w:lang w:val="en-US" w:eastAsia="ru-RU"/>
              </w:rPr>
            </w:pPr>
            <w:r w:rsidRPr="00CC3507">
              <w:rPr>
                <w:rFonts w:ascii="Times New Roman" w:hAnsi="Times New Roman" w:cs="Times New Roman"/>
                <w:b/>
                <w:bCs/>
                <w:iCs/>
                <w:sz w:val="24"/>
                <w:szCs w:val="24"/>
                <w:lang w:val="en-US" w:eastAsia="ru-RU"/>
              </w:rPr>
              <w:t>B1</w:t>
            </w:r>
          </w:p>
        </w:tc>
        <w:tc>
          <w:tcPr>
            <w:tcW w:w="1843" w:type="dxa"/>
            <w:shd w:val="clear" w:color="auto" w:fill="auto"/>
            <w:tcMar>
              <w:top w:w="15" w:type="dxa"/>
              <w:left w:w="84" w:type="dxa"/>
              <w:bottom w:w="0" w:type="dxa"/>
              <w:right w:w="84" w:type="dxa"/>
            </w:tcMar>
            <w:vAlign w:val="center"/>
          </w:tcPr>
          <w:p w:rsidR="00371CC9" w:rsidRPr="00CC3507" w:rsidRDefault="00371CC9" w:rsidP="00371CC9">
            <w:pPr>
              <w:spacing w:after="0" w:line="240" w:lineRule="auto"/>
              <w:jc w:val="both"/>
              <w:rPr>
                <w:rFonts w:ascii="Times New Roman" w:hAnsi="Times New Roman" w:cs="Times New Roman"/>
                <w:iCs/>
                <w:sz w:val="24"/>
                <w:szCs w:val="24"/>
                <w:lang w:val="en-US" w:eastAsia="ru-RU"/>
              </w:rPr>
            </w:pPr>
            <w:r w:rsidRPr="00CC3507">
              <w:rPr>
                <w:rFonts w:ascii="Times New Roman" w:hAnsi="Times New Roman" w:cs="Times New Roman"/>
                <w:b/>
                <w:bCs/>
                <w:iCs/>
                <w:sz w:val="24"/>
                <w:szCs w:val="24"/>
                <w:lang w:val="en-US" w:eastAsia="ru-RU"/>
              </w:rPr>
              <w:t>B2</w:t>
            </w:r>
          </w:p>
        </w:tc>
        <w:tc>
          <w:tcPr>
            <w:tcW w:w="2126" w:type="dxa"/>
            <w:shd w:val="clear" w:color="auto" w:fill="auto"/>
            <w:tcMar>
              <w:top w:w="15" w:type="dxa"/>
              <w:left w:w="84" w:type="dxa"/>
              <w:bottom w:w="0" w:type="dxa"/>
              <w:right w:w="84" w:type="dxa"/>
            </w:tcMar>
            <w:vAlign w:val="center"/>
          </w:tcPr>
          <w:p w:rsidR="00371CC9" w:rsidRPr="00CC3507" w:rsidRDefault="00371CC9" w:rsidP="00371CC9">
            <w:pPr>
              <w:spacing w:after="0" w:line="240" w:lineRule="auto"/>
              <w:jc w:val="both"/>
              <w:rPr>
                <w:rFonts w:ascii="Times New Roman" w:hAnsi="Times New Roman" w:cs="Times New Roman"/>
                <w:iCs/>
                <w:sz w:val="24"/>
                <w:szCs w:val="24"/>
                <w:lang w:val="en-US" w:eastAsia="ru-RU"/>
              </w:rPr>
            </w:pPr>
            <w:r w:rsidRPr="00CC3507">
              <w:rPr>
                <w:rFonts w:ascii="Times New Roman" w:hAnsi="Times New Roman" w:cs="Times New Roman"/>
                <w:b/>
                <w:bCs/>
                <w:iCs/>
                <w:sz w:val="24"/>
                <w:szCs w:val="24"/>
                <w:lang w:val="en-US" w:eastAsia="ru-RU"/>
              </w:rPr>
              <w:t>C</w:t>
            </w:r>
          </w:p>
        </w:tc>
      </w:tr>
    </w:tbl>
    <w:p w:rsidR="00371CC9" w:rsidRPr="00CC3507" w:rsidRDefault="00371CC9" w:rsidP="00371CC9">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p>
    <w:p w:rsidR="00371CC9" w:rsidRPr="00CC3507" w:rsidRDefault="00371CC9" w:rsidP="00371CC9">
      <w:pPr>
        <w:spacing w:after="120" w:line="240" w:lineRule="auto"/>
        <w:ind w:firstLine="567"/>
        <w:jc w:val="both"/>
        <w:rPr>
          <w:rFonts w:ascii="Times New Roman" w:hAnsi="Times New Roman" w:cs="Times New Roman"/>
          <w:iCs/>
          <w:sz w:val="24"/>
          <w:szCs w:val="24"/>
          <w:lang w:val="en-US" w:eastAsia="ru-RU"/>
        </w:rPr>
      </w:pPr>
      <w:r w:rsidRPr="00CC3507">
        <w:rPr>
          <w:rFonts w:ascii="Times New Roman" w:hAnsi="Times New Roman" w:cs="Times New Roman"/>
          <w:iCs/>
          <w:sz w:val="24"/>
          <w:szCs w:val="24"/>
          <w:lang w:val="en-US" w:eastAsia="ru-RU"/>
        </w:rPr>
        <w:t xml:space="preserve">Russian </w:t>
      </w:r>
      <w:proofErr w:type="spellStart"/>
      <w:r w:rsidRPr="00CC3507">
        <w:rPr>
          <w:rFonts w:ascii="Times New Roman" w:hAnsi="Times New Roman" w:cs="Times New Roman"/>
          <w:iCs/>
          <w:sz w:val="24"/>
          <w:szCs w:val="24"/>
          <w:lang w:val="en-US" w:eastAsia="ru-RU"/>
        </w:rPr>
        <w:t>roubles</w:t>
      </w:r>
      <w:proofErr w:type="spellEnd"/>
      <w:r w:rsidRPr="00CC3507">
        <w:rPr>
          <w:rFonts w:ascii="Times New Roman" w:hAnsi="Times New Roman" w:cs="Times New Roman"/>
          <w:iCs/>
          <w:sz w:val="24"/>
          <w:szCs w:val="24"/>
          <w:lang w:val="en-US" w:eastAsia="ru-RU"/>
        </w:rPr>
        <w:t xml:space="preserve">, foreign currency and securities are accepted as the collateral. </w:t>
      </w:r>
      <w:r w:rsidR="004C7F96">
        <w:rPr>
          <w:rFonts w:ascii="Times New Roman" w:hAnsi="Times New Roman" w:cs="Times New Roman"/>
          <w:iCs/>
          <w:sz w:val="24"/>
          <w:szCs w:val="24"/>
          <w:lang w:val="en-US" w:eastAsia="ru-RU"/>
        </w:rPr>
        <w:t>The c</w:t>
      </w:r>
      <w:r w:rsidRPr="00CC3507">
        <w:rPr>
          <w:rFonts w:ascii="Times New Roman" w:hAnsi="Times New Roman" w:cs="Times New Roman"/>
          <w:iCs/>
          <w:sz w:val="24"/>
          <w:szCs w:val="24"/>
          <w:lang w:val="en-US" w:eastAsia="ru-RU"/>
        </w:rPr>
        <w:t xml:space="preserve">onclusion of trades in the T+2 </w:t>
      </w:r>
      <w:proofErr w:type="gramStart"/>
      <w:r w:rsidRPr="00CC3507">
        <w:rPr>
          <w:rFonts w:ascii="Times New Roman" w:hAnsi="Times New Roman" w:cs="Times New Roman"/>
          <w:iCs/>
          <w:sz w:val="24"/>
          <w:szCs w:val="24"/>
          <w:lang w:val="en-US" w:eastAsia="ru-RU"/>
        </w:rPr>
        <w:t>mode</w:t>
      </w:r>
      <w:proofErr w:type="gramEnd"/>
      <w:r w:rsidRPr="00CC3507">
        <w:rPr>
          <w:rFonts w:ascii="Times New Roman" w:hAnsi="Times New Roman" w:cs="Times New Roman"/>
          <w:iCs/>
          <w:sz w:val="24"/>
          <w:szCs w:val="24"/>
          <w:lang w:val="en-US" w:eastAsia="ru-RU"/>
        </w:rPr>
        <w:t xml:space="preserve"> is only possible with the securities, included in the clearing trading list for trades in T+2 mode. The realization of clearing in T+2 mode allowed </w:t>
      </w:r>
      <w:r w:rsidR="004C7F96">
        <w:rPr>
          <w:rFonts w:ascii="Times New Roman" w:hAnsi="Times New Roman" w:cs="Times New Roman"/>
          <w:iCs/>
          <w:sz w:val="24"/>
          <w:szCs w:val="24"/>
          <w:lang w:val="en-US" w:eastAsia="ru-RU"/>
        </w:rPr>
        <w:t xml:space="preserve"> the </w:t>
      </w:r>
      <w:r w:rsidRPr="00CC3507">
        <w:rPr>
          <w:rFonts w:ascii="Times New Roman" w:hAnsi="Times New Roman" w:cs="Times New Roman"/>
          <w:iCs/>
          <w:sz w:val="24"/>
          <w:szCs w:val="24"/>
          <w:lang w:val="en-US" w:eastAsia="ru-RU"/>
        </w:rPr>
        <w:t xml:space="preserve">multiple reduction of the cost of assets, which </w:t>
      </w:r>
      <w:r>
        <w:rPr>
          <w:rFonts w:ascii="Times New Roman" w:hAnsi="Times New Roman" w:cs="Times New Roman"/>
          <w:iCs/>
          <w:sz w:val="24"/>
          <w:szCs w:val="24"/>
          <w:lang w:val="en-US" w:eastAsia="ru-RU"/>
        </w:rPr>
        <w:t>should</w:t>
      </w:r>
      <w:r w:rsidR="00FB2750">
        <w:rPr>
          <w:rFonts w:ascii="Times New Roman" w:hAnsi="Times New Roman" w:cs="Times New Roman"/>
          <w:iCs/>
          <w:sz w:val="24"/>
          <w:szCs w:val="24"/>
          <w:lang w:val="en-US" w:eastAsia="ru-RU"/>
        </w:rPr>
        <w:t xml:space="preserve"> </w:t>
      </w:r>
      <w:r w:rsidRPr="00CC3507">
        <w:rPr>
          <w:rFonts w:ascii="Times New Roman" w:hAnsi="Times New Roman" w:cs="Times New Roman"/>
          <w:iCs/>
          <w:sz w:val="24"/>
          <w:szCs w:val="24"/>
          <w:lang w:val="en-US" w:eastAsia="ru-RU"/>
        </w:rPr>
        <w:t xml:space="preserve">be transferred in advance, before the trades conclusion, to </w:t>
      </w:r>
      <w:r w:rsidR="004C7F96">
        <w:rPr>
          <w:rFonts w:ascii="Times New Roman" w:hAnsi="Times New Roman" w:cs="Times New Roman"/>
          <w:iCs/>
          <w:sz w:val="24"/>
          <w:szCs w:val="24"/>
          <w:lang w:val="en-US" w:eastAsia="ru-RU"/>
        </w:rPr>
        <w:t xml:space="preserve">the </w:t>
      </w:r>
      <w:r>
        <w:rPr>
          <w:rFonts w:ascii="Times New Roman" w:hAnsi="Times New Roman" w:cs="Times New Roman"/>
          <w:iCs/>
          <w:sz w:val="24"/>
          <w:szCs w:val="24"/>
          <w:lang w:val="en-US" w:eastAsia="ru-RU"/>
        </w:rPr>
        <w:t>trading</w:t>
      </w:r>
      <w:r w:rsidRPr="00CC3507">
        <w:rPr>
          <w:rFonts w:ascii="Times New Roman" w:hAnsi="Times New Roman" w:cs="Times New Roman"/>
          <w:iCs/>
          <w:sz w:val="24"/>
          <w:szCs w:val="24"/>
          <w:lang w:val="en-US" w:eastAsia="ru-RU"/>
        </w:rPr>
        <w:t xml:space="preserve"> and/or clearing account of clearing members</w:t>
      </w:r>
      <w:r>
        <w:rPr>
          <w:rFonts w:ascii="Times New Roman" w:hAnsi="Times New Roman" w:cs="Times New Roman"/>
          <w:iCs/>
          <w:sz w:val="24"/>
          <w:szCs w:val="24"/>
          <w:lang w:val="en-US" w:eastAsia="ru-RU"/>
        </w:rPr>
        <w:t>, with</w:t>
      </w:r>
      <w:r w:rsidRPr="00CC3507">
        <w:rPr>
          <w:rFonts w:ascii="Times New Roman" w:hAnsi="Times New Roman" w:cs="Times New Roman"/>
          <w:iCs/>
          <w:sz w:val="24"/>
          <w:szCs w:val="24"/>
          <w:lang w:val="en-US" w:eastAsia="ru-RU"/>
        </w:rPr>
        <w:t>, the guarantee of the central counterparty on the execution of trades is kept. At the same time, the effectiveness and attractiveness of the securities market of CJSC ‘MICEX</w:t>
      </w:r>
      <w:r>
        <w:rPr>
          <w:rFonts w:ascii="Times New Roman" w:hAnsi="Times New Roman" w:cs="Times New Roman"/>
          <w:iCs/>
          <w:sz w:val="24"/>
          <w:szCs w:val="24"/>
          <w:lang w:val="en-US" w:eastAsia="ru-RU"/>
        </w:rPr>
        <w:t xml:space="preserve"> Stock Exchange</w:t>
      </w:r>
      <w:r w:rsidRPr="00CC3507">
        <w:rPr>
          <w:rFonts w:ascii="Times New Roman" w:hAnsi="Times New Roman" w:cs="Times New Roman"/>
          <w:iCs/>
          <w:sz w:val="24"/>
          <w:szCs w:val="24"/>
          <w:lang w:val="en-US" w:eastAsia="ru-RU"/>
        </w:rPr>
        <w:t>’ increased.</w:t>
      </w:r>
    </w:p>
    <w:p w:rsidR="00371CC9" w:rsidRPr="00CC3507" w:rsidRDefault="00371CC9" w:rsidP="00371CC9">
      <w:pPr>
        <w:spacing w:after="120" w:line="240" w:lineRule="auto"/>
        <w:ind w:firstLine="567"/>
        <w:jc w:val="both"/>
        <w:rPr>
          <w:rFonts w:ascii="Times New Roman" w:hAnsi="Times New Roman" w:cs="Times New Roman"/>
          <w:i/>
          <w:sz w:val="24"/>
          <w:szCs w:val="24"/>
          <w:lang w:val="en-US" w:eastAsia="ru-RU"/>
        </w:rPr>
      </w:pPr>
    </w:p>
    <w:p w:rsidR="00371CC9" w:rsidRPr="00CC3507" w:rsidRDefault="00371CC9" w:rsidP="00371CC9">
      <w:pPr>
        <w:spacing w:after="120" w:line="240" w:lineRule="auto"/>
        <w:ind w:firstLine="567"/>
        <w:jc w:val="both"/>
        <w:rPr>
          <w:rFonts w:ascii="Times New Roman" w:hAnsi="Times New Roman" w:cs="Times New Roman"/>
          <w:bCs/>
          <w:sz w:val="24"/>
          <w:szCs w:val="24"/>
          <w:lang w:val="en-US" w:eastAsia="ru-RU"/>
        </w:rPr>
      </w:pPr>
      <w:r w:rsidRPr="00CC3507">
        <w:rPr>
          <w:rFonts w:ascii="Times New Roman" w:hAnsi="Times New Roman" w:cs="Times New Roman"/>
          <w:bCs/>
          <w:sz w:val="24"/>
          <w:szCs w:val="24"/>
          <w:lang w:val="en-US" w:eastAsia="ru-RU"/>
        </w:rPr>
        <w:t>2. The introduction of the clearing project on REPO trades with central counterparty with the gradual enlargement of the serviced securities</w:t>
      </w:r>
      <w:r>
        <w:rPr>
          <w:rFonts w:ascii="Times New Roman" w:hAnsi="Times New Roman" w:cs="Times New Roman"/>
          <w:bCs/>
          <w:sz w:val="24"/>
          <w:szCs w:val="24"/>
          <w:lang w:val="en-US" w:eastAsia="ru-RU"/>
        </w:rPr>
        <w:t xml:space="preserve">’ </w:t>
      </w:r>
      <w:proofErr w:type="gramStart"/>
      <w:r>
        <w:rPr>
          <w:rFonts w:ascii="Times New Roman" w:hAnsi="Times New Roman" w:cs="Times New Roman"/>
          <w:bCs/>
          <w:sz w:val="24"/>
          <w:szCs w:val="24"/>
          <w:lang w:val="en-US" w:eastAsia="ru-RU"/>
        </w:rPr>
        <w:t xml:space="preserve">variety </w:t>
      </w:r>
      <w:r w:rsidRPr="00CC3507">
        <w:rPr>
          <w:rFonts w:ascii="Times New Roman" w:hAnsi="Times New Roman" w:cs="Times New Roman"/>
          <w:bCs/>
          <w:sz w:val="24"/>
          <w:szCs w:val="24"/>
          <w:lang w:val="en-US" w:eastAsia="ru-RU"/>
        </w:rPr>
        <w:t>.</w:t>
      </w:r>
      <w:proofErr w:type="gramEnd"/>
    </w:p>
    <w:p w:rsidR="00371CC9" w:rsidRPr="00CC3507" w:rsidRDefault="00371CC9" w:rsidP="00371CC9">
      <w:pPr>
        <w:spacing w:after="120" w:line="240" w:lineRule="auto"/>
        <w:ind w:firstLine="567"/>
        <w:jc w:val="both"/>
        <w:rPr>
          <w:rFonts w:ascii="Times New Roman" w:hAnsi="Times New Roman" w:cs="Times New Roman"/>
          <w:bCs/>
          <w:sz w:val="24"/>
          <w:szCs w:val="24"/>
          <w:lang w:val="en-US" w:eastAsia="ru-RU"/>
        </w:rPr>
      </w:pPr>
    </w:p>
    <w:p w:rsidR="00371CC9" w:rsidRPr="00CC3507" w:rsidRDefault="00371CC9" w:rsidP="00371CC9">
      <w:pPr>
        <w:spacing w:after="120" w:line="240" w:lineRule="auto"/>
        <w:ind w:firstLine="567"/>
        <w:jc w:val="both"/>
        <w:rPr>
          <w:rFonts w:ascii="Times New Roman" w:hAnsi="Times New Roman" w:cs="Times New Roman"/>
          <w:bCs/>
          <w:sz w:val="24"/>
          <w:szCs w:val="24"/>
          <w:lang w:val="en-US" w:eastAsia="ru-RU"/>
        </w:rPr>
      </w:pPr>
      <w:r w:rsidRPr="00CC3507">
        <w:rPr>
          <w:rFonts w:ascii="Times New Roman" w:hAnsi="Times New Roman" w:cs="Times New Roman"/>
          <w:bCs/>
          <w:sz w:val="24"/>
          <w:szCs w:val="24"/>
          <w:lang w:val="en-US" w:eastAsia="ru-RU"/>
        </w:rPr>
        <w:t xml:space="preserve">The principal differences of the new REPO market with the involvement of central counterparty from the inter-dealer </w:t>
      </w:r>
      <w:r w:rsidR="004C7F96">
        <w:rPr>
          <w:rFonts w:ascii="Times New Roman" w:hAnsi="Times New Roman" w:cs="Times New Roman"/>
          <w:bCs/>
          <w:sz w:val="24"/>
          <w:szCs w:val="24"/>
          <w:lang w:val="en-US" w:eastAsia="ru-RU"/>
        </w:rPr>
        <w:t>REPO</w:t>
      </w:r>
      <w:r w:rsidRPr="00CC3507">
        <w:rPr>
          <w:rFonts w:ascii="Times New Roman" w:hAnsi="Times New Roman" w:cs="Times New Roman"/>
          <w:bCs/>
          <w:sz w:val="24"/>
          <w:szCs w:val="24"/>
          <w:lang w:val="en-US" w:eastAsia="ru-RU"/>
        </w:rPr>
        <w:t xml:space="preserve"> market, which functioned earlier, are well seen on the following diagram: </w:t>
      </w:r>
    </w:p>
    <w:p w:rsidR="00371CC9" w:rsidRPr="00CC3507" w:rsidRDefault="00371CC9" w:rsidP="00371CC9">
      <w:pPr>
        <w:spacing w:after="120" w:line="240" w:lineRule="auto"/>
        <w:ind w:firstLine="567"/>
        <w:jc w:val="both"/>
        <w:rPr>
          <w:rFonts w:ascii="Times New Roman" w:hAnsi="Times New Roman" w:cs="Times New Roman"/>
          <w:noProof/>
          <w:sz w:val="24"/>
          <w:szCs w:val="24"/>
          <w:lang w:val="en-US" w:eastAsia="en-GB"/>
        </w:rPr>
      </w:pPr>
    </w:p>
    <w:p w:rsidR="00371CC9" w:rsidRPr="00CC3507" w:rsidRDefault="00371CC9" w:rsidP="00371CC9">
      <w:pPr>
        <w:spacing w:after="120" w:line="240" w:lineRule="auto"/>
        <w:ind w:firstLine="567"/>
        <w:jc w:val="both"/>
        <w:rPr>
          <w:rFonts w:ascii="Times New Roman" w:hAnsi="Times New Roman" w:cs="Times New Roman"/>
          <w:noProof/>
          <w:sz w:val="24"/>
          <w:szCs w:val="24"/>
          <w:lang w:val="en-US" w:eastAsia="en-GB"/>
        </w:rPr>
      </w:pPr>
      <w:r w:rsidRPr="00CC3507">
        <w:rPr>
          <w:rFonts w:ascii="Times New Roman" w:hAnsi="Times New Roman" w:cs="Times New Roman"/>
          <w:noProof/>
          <w:sz w:val="24"/>
          <w:szCs w:val="24"/>
          <w:lang w:val="en-US" w:eastAsia="en-GB"/>
        </w:rPr>
        <w:t xml:space="preserve">Inter-Dealer REPO </w:t>
      </w:r>
      <w:r w:rsidRPr="00CC3507">
        <w:rPr>
          <w:rFonts w:ascii="Times New Roman" w:hAnsi="Times New Roman" w:cs="Times New Roman"/>
          <w:noProof/>
          <w:sz w:val="24"/>
          <w:szCs w:val="24"/>
          <w:lang w:val="en-US" w:eastAsia="en-GB"/>
        </w:rPr>
        <w:tab/>
      </w:r>
      <w:r w:rsidRPr="00CC3507">
        <w:rPr>
          <w:rFonts w:ascii="Times New Roman" w:hAnsi="Times New Roman" w:cs="Times New Roman"/>
          <w:noProof/>
          <w:sz w:val="24"/>
          <w:szCs w:val="24"/>
          <w:lang w:val="en-US" w:eastAsia="en-GB"/>
        </w:rPr>
        <w:tab/>
      </w:r>
      <w:r w:rsidRPr="00CC3507">
        <w:rPr>
          <w:rFonts w:ascii="Times New Roman" w:hAnsi="Times New Roman" w:cs="Times New Roman"/>
          <w:noProof/>
          <w:sz w:val="24"/>
          <w:szCs w:val="24"/>
          <w:lang w:val="en-US" w:eastAsia="en-GB"/>
        </w:rPr>
        <w:tab/>
      </w:r>
      <w:r w:rsidRPr="00CC3507">
        <w:rPr>
          <w:rFonts w:ascii="Times New Roman" w:hAnsi="Times New Roman" w:cs="Times New Roman"/>
          <w:noProof/>
          <w:sz w:val="24"/>
          <w:szCs w:val="24"/>
          <w:lang w:val="en-US" w:eastAsia="en-GB"/>
        </w:rPr>
        <w:tab/>
        <w:t>REPO with central counterparty</w:t>
      </w:r>
    </w:p>
    <w:p w:rsidR="00371CC9" w:rsidRPr="00CC3507" w:rsidRDefault="00371CC9" w:rsidP="00371CC9">
      <w:pPr>
        <w:spacing w:after="120" w:line="240" w:lineRule="auto"/>
        <w:ind w:firstLine="567"/>
        <w:jc w:val="both"/>
        <w:rPr>
          <w:rFonts w:ascii="Times New Roman" w:hAnsi="Times New Roman" w:cs="Times New Roman"/>
          <w:bCs/>
          <w:sz w:val="24"/>
          <w:szCs w:val="24"/>
          <w:lang w:val="en-US" w:eastAsia="ru-RU"/>
        </w:rPr>
      </w:pPr>
    </w:p>
    <w:p w:rsidR="00371CC9" w:rsidRPr="00CC3507" w:rsidRDefault="00371CC9" w:rsidP="00371CC9">
      <w:pPr>
        <w:spacing w:after="120" w:line="240" w:lineRule="auto"/>
        <w:ind w:firstLine="567"/>
        <w:jc w:val="both"/>
        <w:rPr>
          <w:rFonts w:ascii="Times New Roman" w:hAnsi="Times New Roman" w:cs="Times New Roman"/>
          <w:bCs/>
          <w:sz w:val="24"/>
          <w:szCs w:val="24"/>
          <w:lang w:val="en-US" w:eastAsia="ru-RU"/>
        </w:rPr>
      </w:pPr>
      <w:r w:rsidRPr="00CC3507">
        <w:rPr>
          <w:rFonts w:ascii="Times New Roman" w:hAnsi="Times New Roman" w:cs="Times New Roman"/>
          <w:bCs/>
          <w:sz w:val="24"/>
          <w:szCs w:val="24"/>
          <w:lang w:val="en-US" w:eastAsia="ru-RU"/>
        </w:rPr>
        <w:t xml:space="preserve"> </w:t>
      </w:r>
      <w:r>
        <w:rPr>
          <w:rFonts w:ascii="Times New Roman" w:hAnsi="Times New Roman" w:cs="Times New Roman"/>
          <w:bCs/>
          <w:noProof/>
          <w:sz w:val="24"/>
          <w:szCs w:val="24"/>
          <w:lang w:eastAsia="ru-RU"/>
        </w:rPr>
        <w:drawing>
          <wp:inline distT="0" distB="0" distL="0" distR="0" wp14:anchorId="3E974029" wp14:editId="4B8548D9">
            <wp:extent cx="2346385" cy="240677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6385" cy="2406770"/>
                    </a:xfrm>
                    <a:prstGeom prst="rect">
                      <a:avLst/>
                    </a:prstGeom>
                    <a:noFill/>
                    <a:ln>
                      <a:noFill/>
                    </a:ln>
                  </pic:spPr>
                </pic:pic>
              </a:graphicData>
            </a:graphic>
          </wp:inline>
        </w:drawing>
      </w:r>
      <w:r w:rsidRPr="00BB215D">
        <w:rPr>
          <w:rFonts w:ascii="Times New Roman" w:hAnsi="Times New Roman" w:cs="Times New Roman"/>
          <w:bCs/>
          <w:sz w:val="24"/>
          <w:szCs w:val="24"/>
          <w:lang w:val="en-US" w:eastAsia="ru-RU"/>
        </w:rPr>
        <w:t xml:space="preserve">           </w:t>
      </w:r>
      <w:r>
        <w:rPr>
          <w:rFonts w:ascii="Times New Roman" w:hAnsi="Times New Roman" w:cs="Times New Roman"/>
          <w:bCs/>
          <w:noProof/>
          <w:sz w:val="24"/>
          <w:szCs w:val="24"/>
          <w:lang w:eastAsia="ru-RU"/>
        </w:rPr>
        <w:drawing>
          <wp:inline distT="0" distB="0" distL="0" distR="0" wp14:anchorId="2AFCA0A6" wp14:editId="38ABBCFF">
            <wp:extent cx="2424023" cy="2449902"/>
            <wp:effectExtent l="0" t="0" r="0"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4197" cy="2450078"/>
                    </a:xfrm>
                    <a:prstGeom prst="rect">
                      <a:avLst/>
                    </a:prstGeom>
                    <a:noFill/>
                    <a:ln>
                      <a:noFill/>
                    </a:ln>
                  </pic:spPr>
                </pic:pic>
              </a:graphicData>
            </a:graphic>
          </wp:inline>
        </w:drawing>
      </w:r>
    </w:p>
    <w:p w:rsidR="00371CC9" w:rsidRPr="00CC3507" w:rsidRDefault="00371CC9" w:rsidP="00371CC9">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p>
    <w:p w:rsidR="00371CC9" w:rsidRPr="00CC3507" w:rsidRDefault="00371CC9" w:rsidP="00371CC9">
      <w:pPr>
        <w:spacing w:after="120" w:line="240" w:lineRule="auto"/>
        <w:ind w:firstLine="567"/>
        <w:jc w:val="both"/>
        <w:rPr>
          <w:rFonts w:ascii="Times New Roman" w:hAnsi="Times New Roman" w:cs="Times New Roman"/>
          <w:bCs/>
          <w:sz w:val="24"/>
          <w:szCs w:val="24"/>
          <w:lang w:val="en-US" w:eastAsia="ru-RU"/>
        </w:rPr>
      </w:pPr>
      <w:r w:rsidRPr="00CC3507">
        <w:rPr>
          <w:rFonts w:ascii="Times New Roman" w:hAnsi="Times New Roman" w:cs="Times New Roman"/>
          <w:bCs/>
          <w:sz w:val="24"/>
          <w:szCs w:val="24"/>
          <w:lang w:val="en-US" w:eastAsia="ru-RU"/>
        </w:rPr>
        <w:t>This project allowed to create the fully-functioning REPO market and to reduce participants’ risks due to the centralization of the risks management system</w:t>
      </w:r>
      <w:r>
        <w:rPr>
          <w:rFonts w:ascii="Times New Roman" w:hAnsi="Times New Roman" w:cs="Times New Roman"/>
          <w:bCs/>
          <w:sz w:val="24"/>
          <w:szCs w:val="24"/>
          <w:lang w:val="en-US" w:eastAsia="ru-RU"/>
        </w:rPr>
        <w:t xml:space="preserve"> and CCP assumption of risks.</w:t>
      </w:r>
      <w:r w:rsidRPr="00CC3507">
        <w:rPr>
          <w:rFonts w:ascii="Times New Roman" w:hAnsi="Times New Roman" w:cs="Times New Roman"/>
          <w:bCs/>
          <w:sz w:val="24"/>
          <w:szCs w:val="24"/>
          <w:lang w:val="en-US" w:eastAsia="ru-RU"/>
        </w:rPr>
        <w:t xml:space="preserve"> In the framework of this project, the opportunity</w:t>
      </w:r>
      <w:r>
        <w:rPr>
          <w:rFonts w:ascii="Times New Roman" w:hAnsi="Times New Roman" w:cs="Times New Roman"/>
          <w:bCs/>
          <w:sz w:val="24"/>
          <w:szCs w:val="24"/>
          <w:lang w:val="en-US" w:eastAsia="ru-RU"/>
        </w:rPr>
        <w:t xml:space="preserve"> has been implemented</w:t>
      </w:r>
      <w:r w:rsidR="00FB2750">
        <w:rPr>
          <w:rFonts w:ascii="Times New Roman" w:hAnsi="Times New Roman" w:cs="Times New Roman"/>
          <w:bCs/>
          <w:sz w:val="24"/>
          <w:szCs w:val="24"/>
          <w:lang w:val="en-US" w:eastAsia="ru-RU"/>
        </w:rPr>
        <w:t xml:space="preserve"> </w:t>
      </w:r>
      <w:r w:rsidRPr="00CC3507">
        <w:rPr>
          <w:rFonts w:ascii="Times New Roman" w:hAnsi="Times New Roman" w:cs="Times New Roman"/>
          <w:bCs/>
          <w:sz w:val="24"/>
          <w:szCs w:val="24"/>
          <w:lang w:val="en-US" w:eastAsia="ru-RU"/>
        </w:rPr>
        <w:t xml:space="preserve">for the conclusion and clearing of REPO trades with the following execution time: </w:t>
      </w:r>
    </w:p>
    <w:p w:rsidR="00371CC9" w:rsidRPr="00CC3507" w:rsidRDefault="00371CC9" w:rsidP="00371CC9">
      <w:pPr>
        <w:numPr>
          <w:ilvl w:val="0"/>
          <w:numId w:val="7"/>
        </w:numPr>
        <w:spacing w:after="120" w:line="240" w:lineRule="auto"/>
        <w:ind w:left="1417" w:hanging="567"/>
        <w:contextualSpacing/>
        <w:jc w:val="both"/>
        <w:rPr>
          <w:rFonts w:ascii="Times New Roman" w:hAnsi="Times New Roman" w:cs="Times New Roman"/>
          <w:sz w:val="24"/>
          <w:szCs w:val="24"/>
          <w:lang w:val="en-US" w:eastAsia="ru-RU"/>
        </w:rPr>
      </w:pPr>
      <w:r w:rsidRPr="00CC3507">
        <w:rPr>
          <w:rFonts w:ascii="Times New Roman" w:hAnsi="Times New Roman" w:cs="Times New Roman"/>
          <w:sz w:val="24"/>
          <w:szCs w:val="24"/>
          <w:lang w:val="en-US" w:eastAsia="ru-RU"/>
        </w:rPr>
        <w:t xml:space="preserve">Part 1—on the day of the conclusion of the trade, or the next </w:t>
      </w:r>
      <w:r>
        <w:rPr>
          <w:rFonts w:ascii="Times New Roman" w:hAnsi="Times New Roman" w:cs="Times New Roman"/>
          <w:sz w:val="24"/>
          <w:szCs w:val="24"/>
          <w:lang w:val="en-US" w:eastAsia="ru-RU"/>
        </w:rPr>
        <w:t>settlement</w:t>
      </w:r>
      <w:r w:rsidRPr="00CC3507">
        <w:rPr>
          <w:rFonts w:ascii="Times New Roman" w:hAnsi="Times New Roman" w:cs="Times New Roman"/>
          <w:sz w:val="24"/>
          <w:szCs w:val="24"/>
          <w:lang w:val="en-US" w:eastAsia="ru-RU"/>
        </w:rPr>
        <w:t xml:space="preserve"> day from the day of</w:t>
      </w:r>
      <w:r>
        <w:rPr>
          <w:rFonts w:ascii="Times New Roman" w:hAnsi="Times New Roman" w:cs="Times New Roman"/>
          <w:sz w:val="24"/>
          <w:szCs w:val="24"/>
          <w:lang w:val="en-US" w:eastAsia="ru-RU"/>
        </w:rPr>
        <w:t xml:space="preserve"> the trade</w:t>
      </w:r>
      <w:r w:rsidRPr="00CC3507">
        <w:rPr>
          <w:rFonts w:ascii="Times New Roman" w:hAnsi="Times New Roman" w:cs="Times New Roman"/>
          <w:sz w:val="24"/>
          <w:szCs w:val="24"/>
          <w:lang w:val="en-US" w:eastAsia="ru-RU"/>
        </w:rPr>
        <w:t xml:space="preserve"> conclusion;</w:t>
      </w:r>
    </w:p>
    <w:p w:rsidR="00371CC9" w:rsidRPr="00CC3507" w:rsidRDefault="00371CC9" w:rsidP="00371CC9">
      <w:pPr>
        <w:numPr>
          <w:ilvl w:val="0"/>
          <w:numId w:val="7"/>
        </w:numPr>
        <w:spacing w:after="120" w:line="240" w:lineRule="auto"/>
        <w:ind w:left="1417" w:hanging="567"/>
        <w:contextualSpacing/>
        <w:jc w:val="both"/>
        <w:rPr>
          <w:rFonts w:ascii="Times New Roman" w:hAnsi="Times New Roman" w:cs="Times New Roman"/>
          <w:sz w:val="24"/>
          <w:szCs w:val="24"/>
          <w:lang w:val="en-US" w:eastAsia="ru-RU"/>
        </w:rPr>
      </w:pPr>
      <w:r w:rsidRPr="00CC3507">
        <w:rPr>
          <w:rFonts w:ascii="Times New Roman" w:hAnsi="Times New Roman" w:cs="Times New Roman"/>
          <w:sz w:val="24"/>
          <w:szCs w:val="24"/>
          <w:lang w:val="en-US" w:eastAsia="ru-RU"/>
        </w:rPr>
        <w:t xml:space="preserve">Part 2 – on the following or the second </w:t>
      </w:r>
      <w:r>
        <w:rPr>
          <w:rFonts w:ascii="Times New Roman" w:hAnsi="Times New Roman" w:cs="Times New Roman"/>
          <w:sz w:val="24"/>
          <w:szCs w:val="24"/>
          <w:lang w:val="en-US" w:eastAsia="ru-RU"/>
        </w:rPr>
        <w:t xml:space="preserve">settlement </w:t>
      </w:r>
      <w:r w:rsidRPr="00CC3507">
        <w:rPr>
          <w:rFonts w:ascii="Times New Roman" w:hAnsi="Times New Roman" w:cs="Times New Roman"/>
          <w:sz w:val="24"/>
          <w:szCs w:val="24"/>
          <w:lang w:val="en-US" w:eastAsia="ru-RU"/>
        </w:rPr>
        <w:t xml:space="preserve"> day from the day of conclusion of the trade;</w:t>
      </w:r>
    </w:p>
    <w:p w:rsidR="00371CC9" w:rsidRPr="00CC3507" w:rsidRDefault="00371CC9" w:rsidP="00371CC9">
      <w:pPr>
        <w:spacing w:before="100" w:after="120" w:line="240" w:lineRule="auto"/>
        <w:jc w:val="center"/>
        <w:rPr>
          <w:rFonts w:ascii="Times New Roman" w:hAnsi="Times New Roman" w:cs="Times New Roman"/>
          <w:sz w:val="24"/>
          <w:szCs w:val="24"/>
          <w:lang w:val="en-US" w:eastAsia="ru-RU"/>
        </w:rPr>
      </w:pPr>
    </w:p>
    <w:p w:rsidR="00371CC9" w:rsidRPr="00CC3507" w:rsidRDefault="00371CC9" w:rsidP="00371CC9">
      <w:pPr>
        <w:spacing w:before="100" w:after="120" w:line="240" w:lineRule="auto"/>
        <w:jc w:val="center"/>
        <w:rPr>
          <w:rFonts w:ascii="Times New Roman" w:hAnsi="Times New Roman" w:cs="Times New Roman"/>
          <w:b/>
          <w:sz w:val="24"/>
          <w:szCs w:val="24"/>
          <w:lang w:val="en-US" w:eastAsia="ru-RU"/>
        </w:rPr>
      </w:pPr>
      <w:r w:rsidRPr="00CC3507">
        <w:rPr>
          <w:rFonts w:ascii="Times New Roman" w:hAnsi="Times New Roman" w:cs="Times New Roman"/>
          <w:b/>
          <w:sz w:val="24"/>
          <w:szCs w:val="24"/>
          <w:lang w:val="en-US" w:eastAsia="ru-RU"/>
        </w:rPr>
        <w:t>Advantages of REPO market with central counterparty:</w:t>
      </w:r>
    </w:p>
    <w:p w:rsidR="00371CC9" w:rsidRPr="00CC3507" w:rsidRDefault="00371CC9" w:rsidP="00371CC9">
      <w:pPr>
        <w:numPr>
          <w:ilvl w:val="1"/>
          <w:numId w:val="11"/>
        </w:numPr>
        <w:spacing w:after="120" w:line="240" w:lineRule="auto"/>
        <w:ind w:left="1417" w:hanging="567"/>
        <w:contextualSpacing/>
        <w:jc w:val="both"/>
        <w:rPr>
          <w:rFonts w:ascii="Times New Roman" w:hAnsi="Times New Roman" w:cs="Times New Roman"/>
          <w:sz w:val="24"/>
          <w:szCs w:val="24"/>
          <w:lang w:val="en-US"/>
        </w:rPr>
      </w:pPr>
      <w:r w:rsidRPr="00CC3507">
        <w:rPr>
          <w:rFonts w:ascii="Times New Roman" w:hAnsi="Times New Roman" w:cs="Times New Roman"/>
          <w:sz w:val="24"/>
          <w:szCs w:val="24"/>
          <w:lang w:val="en-US"/>
        </w:rPr>
        <w:t xml:space="preserve">Conclusion of trades, including Part 2 of REPO, with </w:t>
      </w:r>
      <w:r w:rsidR="004C7F96">
        <w:rPr>
          <w:rFonts w:ascii="Times New Roman" w:hAnsi="Times New Roman" w:cs="Times New Roman"/>
          <w:sz w:val="24"/>
          <w:szCs w:val="24"/>
          <w:lang w:val="en-US"/>
        </w:rPr>
        <w:t xml:space="preserve">the </w:t>
      </w:r>
      <w:r w:rsidRPr="00CC3507">
        <w:rPr>
          <w:rFonts w:ascii="Times New Roman" w:hAnsi="Times New Roman" w:cs="Times New Roman"/>
          <w:sz w:val="24"/>
          <w:szCs w:val="24"/>
          <w:lang w:val="en-US"/>
        </w:rPr>
        <w:t xml:space="preserve">partial </w:t>
      </w:r>
      <w:proofErr w:type="gramStart"/>
      <w:r>
        <w:rPr>
          <w:rFonts w:ascii="Times New Roman" w:hAnsi="Times New Roman" w:cs="Times New Roman"/>
          <w:sz w:val="24"/>
          <w:szCs w:val="24"/>
          <w:lang w:val="en-US"/>
        </w:rPr>
        <w:t xml:space="preserve">preliminary </w:t>
      </w:r>
      <w:r w:rsidRPr="00CC3507">
        <w:rPr>
          <w:rFonts w:ascii="Times New Roman" w:hAnsi="Times New Roman" w:cs="Times New Roman"/>
          <w:sz w:val="24"/>
          <w:szCs w:val="24"/>
          <w:lang w:val="en-US"/>
        </w:rPr>
        <w:t xml:space="preserve"> </w:t>
      </w:r>
      <w:r w:rsidR="00514D32">
        <w:rPr>
          <w:rFonts w:ascii="Times New Roman" w:hAnsi="Times New Roman" w:cs="Times New Roman"/>
          <w:sz w:val="24"/>
          <w:szCs w:val="24"/>
          <w:lang w:val="en-US"/>
        </w:rPr>
        <w:t>collateral</w:t>
      </w:r>
      <w:proofErr w:type="gramEnd"/>
      <w:r w:rsidR="00514D32">
        <w:rPr>
          <w:rFonts w:ascii="Times New Roman" w:hAnsi="Times New Roman" w:cs="Times New Roman"/>
          <w:sz w:val="24"/>
          <w:szCs w:val="24"/>
          <w:lang w:val="en-US"/>
        </w:rPr>
        <w:t>.</w:t>
      </w:r>
    </w:p>
    <w:p w:rsidR="00371CC9" w:rsidRPr="00CC3507" w:rsidRDefault="00371CC9" w:rsidP="00371CC9">
      <w:pPr>
        <w:numPr>
          <w:ilvl w:val="1"/>
          <w:numId w:val="11"/>
        </w:numPr>
        <w:spacing w:after="120" w:line="240" w:lineRule="auto"/>
        <w:ind w:left="1417" w:hanging="567"/>
        <w:contextualSpacing/>
        <w:jc w:val="both"/>
        <w:rPr>
          <w:rFonts w:ascii="Times New Roman" w:hAnsi="Times New Roman" w:cs="Times New Roman"/>
          <w:sz w:val="24"/>
          <w:szCs w:val="24"/>
          <w:lang w:val="en-US"/>
        </w:rPr>
      </w:pPr>
      <w:r w:rsidRPr="00CC3507">
        <w:rPr>
          <w:rFonts w:ascii="Times New Roman" w:hAnsi="Times New Roman" w:cs="Times New Roman"/>
          <w:sz w:val="24"/>
          <w:szCs w:val="24"/>
          <w:lang w:val="en-US"/>
        </w:rPr>
        <w:t>No</w:t>
      </w:r>
      <w:r w:rsidR="00514D32">
        <w:rPr>
          <w:rFonts w:ascii="Times New Roman" w:hAnsi="Times New Roman" w:cs="Times New Roman"/>
          <w:sz w:val="24"/>
          <w:szCs w:val="24"/>
          <w:lang w:val="en-US"/>
        </w:rPr>
        <w:t xml:space="preserve"> </w:t>
      </w:r>
      <w:r w:rsidRPr="00CC3507">
        <w:rPr>
          <w:rFonts w:ascii="Times New Roman" w:hAnsi="Times New Roman" w:cs="Times New Roman"/>
          <w:sz w:val="24"/>
          <w:szCs w:val="24"/>
          <w:lang w:val="en-US"/>
        </w:rPr>
        <w:t xml:space="preserve">risk trade, not requiring the calculation of limits </w:t>
      </w:r>
      <w:r>
        <w:rPr>
          <w:rFonts w:ascii="Times New Roman" w:hAnsi="Times New Roman" w:cs="Times New Roman"/>
          <w:sz w:val="24"/>
          <w:szCs w:val="24"/>
          <w:lang w:val="en-US"/>
        </w:rPr>
        <w:t>to</w:t>
      </w:r>
      <w:r w:rsidRPr="00CC3507">
        <w:rPr>
          <w:rFonts w:ascii="Times New Roman" w:hAnsi="Times New Roman" w:cs="Times New Roman"/>
          <w:sz w:val="24"/>
          <w:szCs w:val="24"/>
          <w:lang w:val="en-US"/>
        </w:rPr>
        <w:t xml:space="preserve"> other members (the execution of obligations </w:t>
      </w:r>
      <w:r>
        <w:rPr>
          <w:rFonts w:ascii="Times New Roman" w:hAnsi="Times New Roman" w:cs="Times New Roman"/>
          <w:sz w:val="24"/>
          <w:szCs w:val="24"/>
          <w:lang w:val="en-US"/>
        </w:rPr>
        <w:t>to</w:t>
      </w:r>
      <w:r w:rsidRPr="00CC3507">
        <w:rPr>
          <w:rFonts w:ascii="Times New Roman" w:hAnsi="Times New Roman" w:cs="Times New Roman"/>
          <w:sz w:val="24"/>
          <w:szCs w:val="24"/>
          <w:lang w:val="en-US"/>
        </w:rPr>
        <w:t xml:space="preserve"> each fair party is guaranteed by central counterparty).</w:t>
      </w:r>
    </w:p>
    <w:p w:rsidR="00371CC9" w:rsidRPr="00CC3507" w:rsidRDefault="00371CC9" w:rsidP="00371CC9">
      <w:pPr>
        <w:numPr>
          <w:ilvl w:val="1"/>
          <w:numId w:val="11"/>
        </w:numPr>
        <w:spacing w:after="120" w:line="240" w:lineRule="auto"/>
        <w:ind w:left="1417" w:hanging="567"/>
        <w:contextualSpacing/>
        <w:jc w:val="both"/>
        <w:rPr>
          <w:rFonts w:ascii="Times New Roman" w:hAnsi="Times New Roman" w:cs="Times New Roman"/>
          <w:sz w:val="24"/>
          <w:szCs w:val="24"/>
          <w:lang w:val="en-US"/>
        </w:rPr>
      </w:pPr>
      <w:r w:rsidRPr="00CC3507">
        <w:rPr>
          <w:rFonts w:ascii="Times New Roman" w:hAnsi="Times New Roman" w:cs="Times New Roman"/>
          <w:sz w:val="24"/>
          <w:szCs w:val="24"/>
          <w:lang w:val="en-US"/>
        </w:rPr>
        <w:t xml:space="preserve">Rapid and convenient conclusion of trades on the standard conditions, including in the </w:t>
      </w:r>
      <w:r>
        <w:rPr>
          <w:rFonts w:ascii="Times New Roman" w:hAnsi="Times New Roman" w:cs="Times New Roman"/>
          <w:sz w:val="24"/>
          <w:szCs w:val="24"/>
          <w:lang w:val="en-US"/>
        </w:rPr>
        <w:t>order book</w:t>
      </w:r>
      <w:r w:rsidRPr="00CC3507">
        <w:rPr>
          <w:rFonts w:ascii="Times New Roman" w:hAnsi="Times New Roman" w:cs="Times New Roman"/>
          <w:sz w:val="24"/>
          <w:szCs w:val="24"/>
          <w:lang w:val="en-US"/>
        </w:rPr>
        <w:t xml:space="preserve">. </w:t>
      </w:r>
    </w:p>
    <w:p w:rsidR="00371CC9" w:rsidRPr="00CC3507" w:rsidRDefault="00371CC9" w:rsidP="00371CC9">
      <w:pPr>
        <w:numPr>
          <w:ilvl w:val="1"/>
          <w:numId w:val="11"/>
        </w:numPr>
        <w:spacing w:after="120" w:line="240" w:lineRule="auto"/>
        <w:ind w:left="1417" w:hanging="567"/>
        <w:contextualSpacing/>
        <w:jc w:val="both"/>
        <w:rPr>
          <w:rFonts w:ascii="Times New Roman" w:hAnsi="Times New Roman" w:cs="Times New Roman"/>
          <w:sz w:val="24"/>
          <w:szCs w:val="24"/>
          <w:lang w:val="en-US" w:eastAsia="ru-RU"/>
        </w:rPr>
      </w:pPr>
      <w:r w:rsidRPr="00CC3507">
        <w:rPr>
          <w:rFonts w:ascii="Times New Roman" w:hAnsi="Times New Roman" w:cs="Times New Roman"/>
          <w:sz w:val="24"/>
          <w:szCs w:val="24"/>
          <w:lang w:val="en-US"/>
        </w:rPr>
        <w:t>Opportunity to monitor the market rates of REPO in the real time.</w:t>
      </w:r>
    </w:p>
    <w:p w:rsidR="00371CC9" w:rsidRPr="00CC3507" w:rsidRDefault="00371CC9" w:rsidP="00371CC9">
      <w:pPr>
        <w:spacing w:after="120" w:line="240" w:lineRule="auto"/>
        <w:ind w:left="786" w:firstLine="567"/>
        <w:contextualSpacing/>
        <w:jc w:val="both"/>
        <w:rPr>
          <w:rFonts w:ascii="Times New Roman" w:hAnsi="Times New Roman" w:cs="Times New Roman"/>
          <w:sz w:val="24"/>
          <w:szCs w:val="24"/>
          <w:lang w:val="en-US" w:eastAsia="ru-RU"/>
        </w:rPr>
      </w:pPr>
    </w:p>
    <w:p w:rsidR="00371CC9" w:rsidRPr="00CC3507" w:rsidRDefault="00371CC9" w:rsidP="00371CC9">
      <w:pPr>
        <w:spacing w:after="120" w:line="240" w:lineRule="auto"/>
        <w:ind w:firstLine="567"/>
        <w:contextualSpacing/>
        <w:jc w:val="both"/>
        <w:rPr>
          <w:rFonts w:ascii="Times New Roman" w:hAnsi="Times New Roman" w:cs="Times New Roman"/>
          <w:sz w:val="24"/>
          <w:szCs w:val="24"/>
          <w:lang w:val="en-US" w:eastAsia="ru-RU"/>
        </w:rPr>
      </w:pPr>
      <w:r w:rsidRPr="00CC3507">
        <w:rPr>
          <w:rFonts w:ascii="Times New Roman" w:hAnsi="Times New Roman" w:cs="Times New Roman"/>
          <w:sz w:val="24"/>
          <w:szCs w:val="24"/>
          <w:lang w:val="en-US" w:eastAsia="ru-RU"/>
        </w:rPr>
        <w:t xml:space="preserve">The conclusion of the specified REPO trades is possible only with securities, included in the clearing list for T+2 trades. </w:t>
      </w:r>
    </w:p>
    <w:p w:rsidR="00371CC9" w:rsidRPr="00CC3507" w:rsidRDefault="00371CC9" w:rsidP="00371CC9">
      <w:pPr>
        <w:spacing w:after="120" w:line="240" w:lineRule="auto"/>
        <w:ind w:firstLine="567"/>
        <w:contextualSpacing/>
        <w:jc w:val="both"/>
        <w:rPr>
          <w:rFonts w:ascii="Times New Roman" w:hAnsi="Times New Roman" w:cs="Times New Roman"/>
          <w:sz w:val="24"/>
          <w:szCs w:val="24"/>
          <w:lang w:val="en-US" w:eastAsia="ru-RU"/>
        </w:rPr>
      </w:pPr>
    </w:p>
    <w:p w:rsidR="00371CC9" w:rsidRPr="002C5B4D" w:rsidRDefault="00371CC9" w:rsidP="002C5B4D">
      <w:pPr>
        <w:spacing w:after="120" w:line="240" w:lineRule="auto"/>
        <w:ind w:firstLine="567"/>
        <w:contextualSpacing/>
        <w:jc w:val="both"/>
        <w:rPr>
          <w:rFonts w:ascii="Times New Roman" w:hAnsi="Times New Roman" w:cs="Times New Roman"/>
          <w:sz w:val="24"/>
          <w:szCs w:val="24"/>
          <w:lang w:val="en-US" w:eastAsia="ru-RU"/>
        </w:rPr>
      </w:pPr>
      <w:r w:rsidRPr="00CC3507">
        <w:rPr>
          <w:rFonts w:ascii="Times New Roman" w:hAnsi="Times New Roman" w:cs="Times New Roman"/>
          <w:sz w:val="24"/>
          <w:szCs w:val="24"/>
          <w:lang w:val="en-US" w:eastAsia="ru-RU"/>
        </w:rPr>
        <w:t>The introduction of new, effective technologies of clearing service and the instruments attractive to investors contributed to the increase of attractiveness of the securities market of the Group and</w:t>
      </w:r>
      <w:r w:rsidR="007D3348" w:rsidRPr="007D3348">
        <w:rPr>
          <w:rFonts w:ascii="Times New Roman" w:hAnsi="Times New Roman" w:cs="Times New Roman"/>
          <w:sz w:val="24"/>
          <w:szCs w:val="24"/>
          <w:lang w:val="en-US" w:eastAsia="ru-RU"/>
        </w:rPr>
        <w:t xml:space="preserve"> </w:t>
      </w:r>
      <w:r w:rsidRPr="00CC3507">
        <w:rPr>
          <w:rFonts w:ascii="Times New Roman" w:hAnsi="Times New Roman" w:cs="Times New Roman"/>
          <w:sz w:val="24"/>
          <w:szCs w:val="24"/>
          <w:lang w:val="en-US" w:eastAsia="ru-RU"/>
        </w:rPr>
        <w:t>positive</w:t>
      </w:r>
      <w:r w:rsidR="007D3348">
        <w:rPr>
          <w:rFonts w:ascii="Times New Roman" w:hAnsi="Times New Roman" w:cs="Times New Roman"/>
          <w:sz w:val="24"/>
          <w:szCs w:val="24"/>
          <w:lang w:val="en-US" w:eastAsia="ru-RU"/>
        </w:rPr>
        <w:t>ly</w:t>
      </w:r>
      <w:r w:rsidRPr="00CC3507">
        <w:rPr>
          <w:rFonts w:ascii="Times New Roman" w:hAnsi="Times New Roman" w:cs="Times New Roman"/>
          <w:sz w:val="24"/>
          <w:szCs w:val="24"/>
          <w:lang w:val="en-US" w:eastAsia="ru-RU"/>
        </w:rPr>
        <w:t xml:space="preserve"> impact</w:t>
      </w:r>
      <w:r w:rsidR="007D3348">
        <w:rPr>
          <w:rFonts w:ascii="Times New Roman" w:hAnsi="Times New Roman" w:cs="Times New Roman"/>
          <w:sz w:val="24"/>
          <w:szCs w:val="24"/>
          <w:lang w:val="en-US" w:eastAsia="ru-RU"/>
        </w:rPr>
        <w:t>ed</w:t>
      </w:r>
      <w:r w:rsidRPr="00CC3507">
        <w:rPr>
          <w:rFonts w:ascii="Times New Roman" w:hAnsi="Times New Roman" w:cs="Times New Roman"/>
          <w:sz w:val="24"/>
          <w:szCs w:val="24"/>
          <w:lang w:val="en-US" w:eastAsia="ru-RU"/>
        </w:rPr>
        <w:t xml:space="preserve"> the NCC activities in this segment of the market. In particular, the commission fee for the clearing service on the FX market amounted to 2,367,641 thousand </w:t>
      </w:r>
      <w:proofErr w:type="spellStart"/>
      <w:r w:rsidRPr="00CC3507">
        <w:rPr>
          <w:rFonts w:ascii="Times New Roman" w:hAnsi="Times New Roman" w:cs="Times New Roman"/>
          <w:sz w:val="24"/>
          <w:szCs w:val="24"/>
          <w:lang w:val="en-US" w:eastAsia="ru-RU"/>
        </w:rPr>
        <w:t>roubles</w:t>
      </w:r>
      <w:proofErr w:type="spellEnd"/>
      <w:r w:rsidRPr="00CC3507">
        <w:rPr>
          <w:rFonts w:ascii="Times New Roman" w:hAnsi="Times New Roman" w:cs="Times New Roman"/>
          <w:sz w:val="24"/>
          <w:szCs w:val="24"/>
          <w:lang w:val="en-US" w:eastAsia="ru-RU"/>
        </w:rPr>
        <w:t xml:space="preserve"> in 2013</w:t>
      </w:r>
    </w:p>
    <w:p w:rsidR="00371CC9" w:rsidRPr="00CC3507" w:rsidRDefault="00371CC9" w:rsidP="00371CC9">
      <w:pPr>
        <w:spacing w:after="120" w:line="240" w:lineRule="auto"/>
        <w:ind w:left="786" w:firstLine="567"/>
        <w:contextualSpacing/>
        <w:jc w:val="both"/>
        <w:rPr>
          <w:rFonts w:ascii="Times New Roman" w:hAnsi="Times New Roman" w:cs="Times New Roman"/>
          <w:sz w:val="24"/>
          <w:szCs w:val="24"/>
          <w:lang w:val="en-US" w:eastAsia="ru-RU"/>
        </w:rPr>
      </w:pPr>
    </w:p>
    <w:p w:rsidR="00371CC9" w:rsidRPr="00CC3507" w:rsidRDefault="00371CC9" w:rsidP="00371CC9">
      <w:pPr>
        <w:keepNext/>
        <w:widowControl w:val="0"/>
        <w:overflowPunct w:val="0"/>
        <w:autoSpaceDE w:val="0"/>
        <w:autoSpaceDN w:val="0"/>
        <w:adjustRightInd w:val="0"/>
        <w:spacing w:before="100" w:after="120" w:line="240" w:lineRule="auto"/>
        <w:jc w:val="center"/>
        <w:textAlignment w:val="baseline"/>
        <w:outlineLvl w:val="1"/>
        <w:rPr>
          <w:rFonts w:ascii="Times New Roman" w:eastAsia="Times New Roman" w:hAnsi="Times New Roman" w:cs="Times New Roman"/>
          <w:b/>
          <w:bCs/>
          <w:iCs/>
          <w:sz w:val="28"/>
          <w:szCs w:val="28"/>
          <w:lang w:val="en-US" w:eastAsia="ru-RU"/>
        </w:rPr>
      </w:pPr>
      <w:r w:rsidRPr="00CC3507">
        <w:rPr>
          <w:rFonts w:ascii="Times New Roman" w:eastAsia="Times New Roman" w:hAnsi="Times New Roman" w:cs="Times New Roman"/>
          <w:b/>
          <w:bCs/>
          <w:iCs/>
          <w:sz w:val="28"/>
          <w:szCs w:val="28"/>
          <w:lang w:val="en-US" w:eastAsia="ru-RU"/>
        </w:rPr>
        <w:t>5.3. Derivatives market clearing</w:t>
      </w:r>
    </w:p>
    <w:p w:rsidR="00371CC9" w:rsidRPr="00CC3507" w:rsidRDefault="00371CC9" w:rsidP="00371CC9">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p>
    <w:p w:rsidR="00371CC9" w:rsidRPr="00CC3507" w:rsidRDefault="00371CC9" w:rsidP="00371CC9">
      <w:pPr>
        <w:spacing w:after="120" w:line="240" w:lineRule="auto"/>
        <w:ind w:firstLine="567"/>
        <w:jc w:val="both"/>
        <w:rPr>
          <w:rFonts w:ascii="Times New Roman" w:hAnsi="Times New Roman" w:cs="Times New Roman"/>
          <w:sz w:val="24"/>
          <w:szCs w:val="24"/>
          <w:lang w:val="en-US" w:eastAsia="ru-RU"/>
        </w:rPr>
      </w:pPr>
      <w:r w:rsidRPr="00CC3507">
        <w:rPr>
          <w:rFonts w:ascii="Times New Roman" w:hAnsi="Times New Roman" w:cs="Times New Roman"/>
          <w:sz w:val="24"/>
          <w:szCs w:val="24"/>
          <w:lang w:val="en-US"/>
        </w:rPr>
        <w:t>National Clearing Centre has been carrying out clearing activities on the derivatives market of the Group since December 2012. Since that time, NCC has also carried out clearing on trades with</w:t>
      </w:r>
      <w:r w:rsidRPr="00D23E88">
        <w:rPr>
          <w:rFonts w:ascii="Times New Roman" w:hAnsi="Times New Roman" w:cs="Times New Roman"/>
          <w:sz w:val="24"/>
          <w:szCs w:val="24"/>
          <w:lang w:val="en-US"/>
        </w:rPr>
        <w:t xml:space="preserve"> </w:t>
      </w:r>
      <w:r w:rsidRPr="00CC3507">
        <w:rPr>
          <w:rFonts w:ascii="Times New Roman" w:hAnsi="Times New Roman" w:cs="Times New Roman"/>
          <w:sz w:val="24"/>
          <w:szCs w:val="24"/>
          <w:lang w:val="en-US"/>
        </w:rPr>
        <w:t xml:space="preserve">derivative financial </w:t>
      </w:r>
      <w:r>
        <w:rPr>
          <w:rFonts w:ascii="Times New Roman" w:hAnsi="Times New Roman" w:cs="Times New Roman"/>
          <w:sz w:val="24"/>
          <w:szCs w:val="24"/>
          <w:lang w:val="en-US"/>
        </w:rPr>
        <w:t>instrument</w:t>
      </w:r>
      <w:r w:rsidRPr="00CC3507">
        <w:rPr>
          <w:rFonts w:ascii="Times New Roman" w:hAnsi="Times New Roman" w:cs="Times New Roman"/>
          <w:sz w:val="24"/>
          <w:szCs w:val="24"/>
          <w:lang w:val="en-US"/>
        </w:rPr>
        <w:t xml:space="preserve">s, concluded at OJSC ‘Moscow Energy Exchange’ and OJSC ‘Saint Petersburg Exchange’. Moscow Exchange Group is the leading exchange for </w:t>
      </w:r>
      <w:r>
        <w:rPr>
          <w:rFonts w:ascii="Times New Roman" w:hAnsi="Times New Roman" w:cs="Times New Roman"/>
          <w:sz w:val="24"/>
          <w:szCs w:val="24"/>
          <w:lang w:val="en-US"/>
        </w:rPr>
        <w:t>DI</w:t>
      </w:r>
      <w:r w:rsidRPr="00CC3507">
        <w:rPr>
          <w:rFonts w:ascii="Times New Roman" w:hAnsi="Times New Roman" w:cs="Times New Roman"/>
          <w:sz w:val="24"/>
          <w:szCs w:val="24"/>
          <w:lang w:val="en-US"/>
        </w:rPr>
        <w:t xml:space="preserve"> trading in the CIS and Eastern Europe and is in the top-10 global derivatives exchanges.</w:t>
      </w:r>
    </w:p>
    <w:p w:rsidR="00371CC9" w:rsidRPr="00CC3507" w:rsidRDefault="00371CC9" w:rsidP="00371CC9">
      <w:pPr>
        <w:spacing w:after="120" w:line="240" w:lineRule="auto"/>
        <w:ind w:firstLine="567"/>
        <w:jc w:val="both"/>
        <w:rPr>
          <w:rFonts w:ascii="Times New Roman" w:hAnsi="Times New Roman" w:cs="Times New Roman"/>
          <w:sz w:val="24"/>
          <w:szCs w:val="24"/>
          <w:lang w:val="en-US" w:eastAsia="ru-RU"/>
        </w:rPr>
      </w:pPr>
      <w:r w:rsidRPr="00CC3507">
        <w:rPr>
          <w:rFonts w:ascii="Times New Roman" w:hAnsi="Times New Roman" w:cs="Times New Roman"/>
          <w:sz w:val="24"/>
          <w:szCs w:val="24"/>
          <w:lang w:val="en-US" w:eastAsia="ru-RU"/>
        </w:rPr>
        <w:t>NCC carries out clearing on the derivatives market on futures and options, the basic assets of which are ind</w:t>
      </w:r>
      <w:r>
        <w:rPr>
          <w:rFonts w:ascii="Times New Roman" w:hAnsi="Times New Roman" w:cs="Times New Roman"/>
          <w:sz w:val="24"/>
          <w:szCs w:val="24"/>
          <w:lang w:val="en-US" w:eastAsia="ru-RU"/>
        </w:rPr>
        <w:t>exes</w:t>
      </w:r>
      <w:r w:rsidRPr="00CC3507">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equities</w:t>
      </w:r>
      <w:r w:rsidRPr="00CC3507">
        <w:rPr>
          <w:rFonts w:ascii="Times New Roman" w:hAnsi="Times New Roman" w:cs="Times New Roman"/>
          <w:sz w:val="24"/>
          <w:szCs w:val="24"/>
          <w:lang w:val="en-US" w:eastAsia="ru-RU"/>
        </w:rPr>
        <w:t>, exchange rates, interest rates and commodities.</w:t>
      </w:r>
    </w:p>
    <w:p w:rsidR="00371CC9" w:rsidRPr="00CC3507" w:rsidRDefault="00371CC9" w:rsidP="00371CC9">
      <w:pPr>
        <w:spacing w:after="120" w:line="240" w:lineRule="auto"/>
        <w:ind w:firstLine="567"/>
        <w:jc w:val="both"/>
        <w:rPr>
          <w:rFonts w:ascii="Times New Roman" w:hAnsi="Times New Roman" w:cs="Times New Roman"/>
          <w:sz w:val="24"/>
          <w:szCs w:val="24"/>
          <w:lang w:val="en-US" w:eastAsia="ru-RU"/>
        </w:rPr>
      </w:pPr>
      <w:r w:rsidRPr="00CC3507">
        <w:rPr>
          <w:rFonts w:ascii="Times New Roman" w:hAnsi="Times New Roman" w:cs="Times New Roman"/>
          <w:sz w:val="24"/>
          <w:szCs w:val="24"/>
          <w:lang w:val="en-US" w:eastAsia="ru-RU"/>
        </w:rPr>
        <w:t xml:space="preserve">The 2012 transfer of derivatives market clearing of Moscow Exchange to NCC and its subsequent integration, during the report period, with </w:t>
      </w:r>
      <w:r w:rsidR="0091619C">
        <w:rPr>
          <w:rFonts w:ascii="Times New Roman" w:hAnsi="Times New Roman" w:cs="Times New Roman"/>
          <w:sz w:val="24"/>
          <w:szCs w:val="24"/>
          <w:lang w:val="en-US" w:eastAsia="ru-RU"/>
        </w:rPr>
        <w:t xml:space="preserve">the </w:t>
      </w:r>
      <w:r w:rsidRPr="00CC3507">
        <w:rPr>
          <w:rFonts w:ascii="Times New Roman" w:hAnsi="Times New Roman" w:cs="Times New Roman"/>
          <w:sz w:val="24"/>
          <w:szCs w:val="24"/>
          <w:lang w:val="en-US" w:eastAsia="ru-RU"/>
        </w:rPr>
        <w:t xml:space="preserve">securities and FX market, allowed </w:t>
      </w:r>
      <w:proofErr w:type="gramStart"/>
      <w:r w:rsidRPr="00CC3507">
        <w:rPr>
          <w:rFonts w:ascii="Times New Roman" w:hAnsi="Times New Roman" w:cs="Times New Roman"/>
          <w:sz w:val="24"/>
          <w:szCs w:val="24"/>
          <w:lang w:val="en-US" w:eastAsia="ru-RU"/>
        </w:rPr>
        <w:t>to provide</w:t>
      </w:r>
      <w:proofErr w:type="gramEnd"/>
      <w:r w:rsidRPr="00CC3507">
        <w:rPr>
          <w:rFonts w:ascii="Times New Roman" w:hAnsi="Times New Roman" w:cs="Times New Roman"/>
          <w:sz w:val="24"/>
          <w:szCs w:val="24"/>
          <w:lang w:val="en-US" w:eastAsia="ru-RU"/>
        </w:rPr>
        <w:t xml:space="preserve"> the following: </w:t>
      </w:r>
    </w:p>
    <w:p w:rsidR="00371CC9" w:rsidRPr="00CC3507" w:rsidRDefault="00371CC9" w:rsidP="00371CC9">
      <w:pPr>
        <w:numPr>
          <w:ilvl w:val="0"/>
          <w:numId w:val="7"/>
        </w:numPr>
        <w:spacing w:after="120" w:line="240" w:lineRule="auto"/>
        <w:ind w:left="1417" w:hanging="567"/>
        <w:contextualSpacing/>
        <w:jc w:val="both"/>
        <w:rPr>
          <w:rFonts w:ascii="Times New Roman" w:hAnsi="Times New Roman" w:cs="Times New Roman"/>
          <w:sz w:val="24"/>
          <w:szCs w:val="24"/>
          <w:lang w:val="en-US" w:eastAsia="ru-RU"/>
        </w:rPr>
      </w:pPr>
      <w:r w:rsidRPr="00CC3507">
        <w:rPr>
          <w:rFonts w:ascii="Times New Roman" w:hAnsi="Times New Roman" w:cs="Times New Roman"/>
          <w:sz w:val="24"/>
          <w:szCs w:val="24"/>
          <w:lang w:val="en-US" w:eastAsia="ru-RU"/>
        </w:rPr>
        <w:t xml:space="preserve">trading </w:t>
      </w:r>
      <w:r>
        <w:rPr>
          <w:rFonts w:ascii="Times New Roman" w:hAnsi="Times New Roman" w:cs="Times New Roman"/>
          <w:sz w:val="24"/>
          <w:szCs w:val="24"/>
          <w:lang w:val="en-US" w:eastAsia="ru-RU"/>
        </w:rPr>
        <w:t xml:space="preserve">volume </w:t>
      </w:r>
      <w:r w:rsidRPr="00CC3507">
        <w:rPr>
          <w:rFonts w:ascii="Times New Roman" w:hAnsi="Times New Roman" w:cs="Times New Roman"/>
          <w:sz w:val="24"/>
          <w:szCs w:val="24"/>
          <w:lang w:val="en-US" w:eastAsia="ru-RU"/>
        </w:rPr>
        <w:t xml:space="preserve">increase due to the growth of limits </w:t>
      </w:r>
      <w:r>
        <w:rPr>
          <w:rFonts w:ascii="Times New Roman" w:hAnsi="Times New Roman" w:cs="Times New Roman"/>
          <w:sz w:val="24"/>
          <w:szCs w:val="24"/>
          <w:lang w:val="en-US" w:eastAsia="ru-RU"/>
        </w:rPr>
        <w:t>to</w:t>
      </w:r>
      <w:r w:rsidR="00FB2750">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 xml:space="preserve">the </w:t>
      </w:r>
      <w:r w:rsidRPr="00CC3507">
        <w:rPr>
          <w:rFonts w:ascii="Times New Roman" w:hAnsi="Times New Roman" w:cs="Times New Roman"/>
          <w:sz w:val="24"/>
          <w:szCs w:val="24"/>
          <w:lang w:val="en-US" w:eastAsia="ru-RU"/>
        </w:rPr>
        <w:t xml:space="preserve"> clearing organization and central counterparty, and the use of unified technologies and the principle of </w:t>
      </w:r>
      <w:r>
        <w:rPr>
          <w:rFonts w:ascii="Times New Roman" w:hAnsi="Times New Roman" w:cs="Times New Roman"/>
          <w:sz w:val="24"/>
          <w:szCs w:val="24"/>
          <w:lang w:val="en-US" w:eastAsia="ru-RU"/>
        </w:rPr>
        <w:t>single</w:t>
      </w:r>
      <w:r w:rsidRPr="00CC3507">
        <w:rPr>
          <w:rFonts w:ascii="Times New Roman" w:hAnsi="Times New Roman" w:cs="Times New Roman"/>
          <w:sz w:val="24"/>
          <w:szCs w:val="24"/>
          <w:lang w:val="en-US" w:eastAsia="ru-RU"/>
        </w:rPr>
        <w:t xml:space="preserve"> agreement on clearing services; </w:t>
      </w:r>
    </w:p>
    <w:p w:rsidR="00371CC9" w:rsidRPr="00CC3507" w:rsidRDefault="00371CC9" w:rsidP="00371CC9">
      <w:pPr>
        <w:numPr>
          <w:ilvl w:val="0"/>
          <w:numId w:val="7"/>
        </w:numPr>
        <w:spacing w:after="120" w:line="240" w:lineRule="auto"/>
        <w:ind w:left="1417" w:hanging="567"/>
        <w:contextualSpacing/>
        <w:jc w:val="both"/>
        <w:rPr>
          <w:rFonts w:ascii="Times New Roman" w:hAnsi="Times New Roman" w:cs="Times New Roman"/>
          <w:sz w:val="24"/>
          <w:szCs w:val="24"/>
          <w:lang w:val="en-US" w:eastAsia="ru-RU"/>
        </w:rPr>
      </w:pPr>
      <w:proofErr w:type="gramStart"/>
      <w:r w:rsidRPr="00CC3507">
        <w:rPr>
          <w:rFonts w:ascii="Times New Roman" w:hAnsi="Times New Roman" w:cs="Times New Roman"/>
          <w:sz w:val="24"/>
          <w:szCs w:val="24"/>
          <w:lang w:val="en-US" w:eastAsia="ru-RU"/>
        </w:rPr>
        <w:t>creation</w:t>
      </w:r>
      <w:proofErr w:type="gramEnd"/>
      <w:r w:rsidRPr="00CC3507">
        <w:rPr>
          <w:rFonts w:ascii="Times New Roman" w:hAnsi="Times New Roman" w:cs="Times New Roman"/>
          <w:sz w:val="24"/>
          <w:szCs w:val="24"/>
          <w:lang w:val="en-US" w:eastAsia="ru-RU"/>
        </w:rPr>
        <w:t xml:space="preserve"> of pre</w:t>
      </w:r>
      <w:r>
        <w:rPr>
          <w:rFonts w:ascii="Times New Roman" w:hAnsi="Times New Roman" w:cs="Times New Roman"/>
          <w:sz w:val="24"/>
          <w:szCs w:val="24"/>
          <w:lang w:val="en-US" w:eastAsia="ru-RU"/>
        </w:rPr>
        <w:t>conditions</w:t>
      </w:r>
      <w:r w:rsidRPr="00CC3507">
        <w:rPr>
          <w:rFonts w:ascii="Times New Roman" w:hAnsi="Times New Roman" w:cs="Times New Roman"/>
          <w:sz w:val="24"/>
          <w:szCs w:val="24"/>
          <w:lang w:val="en-US" w:eastAsia="ru-RU"/>
        </w:rPr>
        <w:t xml:space="preserve"> for the future </w:t>
      </w:r>
      <w:r>
        <w:rPr>
          <w:rFonts w:ascii="Times New Roman" w:hAnsi="Times New Roman" w:cs="Times New Roman"/>
          <w:sz w:val="24"/>
          <w:szCs w:val="24"/>
          <w:lang w:val="en-US" w:eastAsia="ru-RU"/>
        </w:rPr>
        <w:t xml:space="preserve">consolidation </w:t>
      </w:r>
      <w:r w:rsidRPr="00CC3507">
        <w:rPr>
          <w:rFonts w:ascii="Times New Roman" w:hAnsi="Times New Roman" w:cs="Times New Roman"/>
          <w:sz w:val="24"/>
          <w:szCs w:val="24"/>
          <w:lang w:val="en-US" w:eastAsia="ru-RU"/>
        </w:rPr>
        <w:t xml:space="preserve">, on the basis of NCC, of the clearing on FX, stock and derivatives markets of the Moscow Exchange Group. </w:t>
      </w:r>
    </w:p>
    <w:p w:rsidR="00371CC9" w:rsidRPr="00CC3507" w:rsidRDefault="00371CC9" w:rsidP="00371CC9">
      <w:pPr>
        <w:spacing w:after="120" w:line="240" w:lineRule="auto"/>
        <w:ind w:firstLine="567"/>
        <w:jc w:val="both"/>
        <w:rPr>
          <w:rFonts w:ascii="Times New Roman" w:hAnsi="Times New Roman" w:cs="Times New Roman"/>
          <w:sz w:val="24"/>
          <w:szCs w:val="24"/>
          <w:lang w:val="en-US" w:eastAsia="ru-RU"/>
        </w:rPr>
      </w:pPr>
    </w:p>
    <w:p w:rsidR="00371CC9" w:rsidRPr="00CC3507" w:rsidRDefault="00371CC9" w:rsidP="00371CC9">
      <w:pPr>
        <w:spacing w:after="120" w:line="240" w:lineRule="auto"/>
        <w:ind w:firstLine="567"/>
        <w:jc w:val="both"/>
        <w:rPr>
          <w:rFonts w:ascii="Times New Roman" w:hAnsi="Times New Roman" w:cs="Times New Roman"/>
          <w:sz w:val="24"/>
          <w:szCs w:val="24"/>
          <w:lang w:val="en-US" w:eastAsia="ru-RU"/>
        </w:rPr>
      </w:pPr>
      <w:r w:rsidRPr="00CC3507">
        <w:rPr>
          <w:rFonts w:ascii="Times New Roman" w:hAnsi="Times New Roman" w:cs="Times New Roman"/>
          <w:sz w:val="24"/>
          <w:szCs w:val="24"/>
          <w:lang w:val="en-US" w:eastAsia="ru-RU"/>
        </w:rPr>
        <w:t xml:space="preserve">Since October 2013, NCC has carried out clearing on trades with futures on the </w:t>
      </w:r>
      <w:r>
        <w:rPr>
          <w:rFonts w:ascii="Times New Roman" w:hAnsi="Times New Roman" w:cs="Times New Roman"/>
          <w:sz w:val="24"/>
          <w:szCs w:val="24"/>
          <w:lang w:val="en-US" w:eastAsia="ru-RU"/>
        </w:rPr>
        <w:t>equities</w:t>
      </w:r>
      <w:r w:rsidRPr="00CC3507">
        <w:rPr>
          <w:rFonts w:ascii="Times New Roman" w:hAnsi="Times New Roman" w:cs="Times New Roman"/>
          <w:sz w:val="24"/>
          <w:szCs w:val="24"/>
          <w:lang w:val="en-US" w:eastAsia="ru-RU"/>
        </w:rPr>
        <w:t xml:space="preserve"> of the five leading German issuers, concluded at the derivatives market in the framework of cooperation with Deutsche </w:t>
      </w:r>
      <w:proofErr w:type="spellStart"/>
      <w:r w:rsidRPr="00CC3507">
        <w:rPr>
          <w:rFonts w:ascii="Times New Roman" w:hAnsi="Times New Roman" w:cs="Times New Roman"/>
          <w:sz w:val="24"/>
          <w:szCs w:val="24"/>
          <w:lang w:val="en-US" w:eastAsia="ru-RU"/>
        </w:rPr>
        <w:t>Börse</w:t>
      </w:r>
      <w:proofErr w:type="spellEnd"/>
      <w:r w:rsidRPr="00CC3507">
        <w:rPr>
          <w:rFonts w:ascii="Times New Roman" w:hAnsi="Times New Roman" w:cs="Times New Roman"/>
          <w:sz w:val="24"/>
          <w:szCs w:val="24"/>
          <w:lang w:val="en-US" w:eastAsia="ru-RU"/>
        </w:rPr>
        <w:t>.</w:t>
      </w:r>
    </w:p>
    <w:p w:rsidR="00371CC9" w:rsidRPr="00CC3507" w:rsidRDefault="00FB2750" w:rsidP="00371CC9">
      <w:pPr>
        <w:spacing w:after="120" w:line="240" w:lineRule="auto"/>
        <w:ind w:firstLine="567"/>
        <w:jc w:val="both"/>
        <w:rPr>
          <w:rFonts w:ascii="Times New Roman" w:hAnsi="Times New Roman" w:cs="Times New Roman"/>
          <w:sz w:val="24"/>
          <w:szCs w:val="24"/>
          <w:lang w:val="en-US" w:eastAsia="ru-RU"/>
        </w:rPr>
      </w:pPr>
      <w:r w:rsidRPr="00CC3507">
        <w:rPr>
          <w:rFonts w:ascii="Times New Roman" w:hAnsi="Times New Roman" w:cs="Times New Roman"/>
          <w:sz w:val="24"/>
          <w:szCs w:val="24"/>
          <w:lang w:val="en-US" w:eastAsia="ru-RU"/>
        </w:rPr>
        <w:t>Inde</w:t>
      </w:r>
      <w:r>
        <w:rPr>
          <w:rFonts w:ascii="Times New Roman" w:hAnsi="Times New Roman" w:cs="Times New Roman"/>
          <w:sz w:val="24"/>
          <w:szCs w:val="24"/>
          <w:lang w:val="en-US" w:eastAsia="ru-RU"/>
        </w:rPr>
        <w:t>xes</w:t>
      </w:r>
      <w:r w:rsidR="00371CC9" w:rsidRPr="00CC3507">
        <w:rPr>
          <w:rFonts w:ascii="Times New Roman" w:hAnsi="Times New Roman" w:cs="Times New Roman"/>
          <w:sz w:val="24"/>
          <w:szCs w:val="24"/>
          <w:lang w:val="en-US" w:eastAsia="ru-RU"/>
        </w:rPr>
        <w:t xml:space="preserve">, </w:t>
      </w:r>
      <w:r w:rsidR="00371CC9">
        <w:rPr>
          <w:rFonts w:ascii="Times New Roman" w:hAnsi="Times New Roman" w:cs="Times New Roman"/>
          <w:sz w:val="24"/>
          <w:szCs w:val="24"/>
          <w:lang w:val="en-US" w:eastAsia="ru-RU"/>
        </w:rPr>
        <w:t>equities</w:t>
      </w:r>
      <w:r w:rsidR="00371CC9" w:rsidRPr="00CC3507">
        <w:rPr>
          <w:rFonts w:ascii="Times New Roman" w:hAnsi="Times New Roman" w:cs="Times New Roman"/>
          <w:sz w:val="24"/>
          <w:szCs w:val="24"/>
          <w:lang w:val="en-US" w:eastAsia="ru-RU"/>
        </w:rPr>
        <w:t xml:space="preserve">, exchange rates, interest rates and commodities can be used as basic assets for the </w:t>
      </w:r>
      <w:r w:rsidR="00371CC9">
        <w:rPr>
          <w:rFonts w:ascii="Times New Roman" w:hAnsi="Times New Roman" w:cs="Times New Roman"/>
          <w:sz w:val="24"/>
          <w:szCs w:val="24"/>
          <w:lang w:val="en-US" w:eastAsia="ru-RU"/>
        </w:rPr>
        <w:t>DI</w:t>
      </w:r>
      <w:r w:rsidR="00371CC9" w:rsidRPr="00CC3507">
        <w:rPr>
          <w:rFonts w:ascii="Times New Roman" w:hAnsi="Times New Roman" w:cs="Times New Roman"/>
          <w:sz w:val="24"/>
          <w:szCs w:val="24"/>
          <w:lang w:val="en-US" w:eastAsia="ru-RU"/>
        </w:rPr>
        <w:t xml:space="preserve">s: </w:t>
      </w:r>
    </w:p>
    <w:p w:rsidR="00371CC9" w:rsidRPr="00CC3507" w:rsidRDefault="00371CC9" w:rsidP="00371CC9">
      <w:pPr>
        <w:spacing w:after="120" w:line="240" w:lineRule="auto"/>
        <w:ind w:firstLine="567"/>
        <w:jc w:val="both"/>
        <w:rPr>
          <w:rFonts w:ascii="Times New Roman" w:hAnsi="Times New Roman" w:cs="Times New Roman"/>
          <w:sz w:val="24"/>
          <w:szCs w:val="24"/>
          <w:lang w:val="en-US" w:eastAsia="ru-RU"/>
        </w:rPr>
      </w:pPr>
    </w:p>
    <w:p w:rsidR="00371CC9" w:rsidRPr="00CC3507" w:rsidRDefault="00371CC9" w:rsidP="00371CC9">
      <w:pPr>
        <w:widowControl w:val="0"/>
        <w:tabs>
          <w:tab w:val="num" w:pos="720"/>
        </w:tabs>
        <w:overflowPunct w:val="0"/>
        <w:autoSpaceDE w:val="0"/>
        <w:autoSpaceDN w:val="0"/>
        <w:adjustRightInd w:val="0"/>
        <w:spacing w:after="120" w:line="240" w:lineRule="auto"/>
        <w:ind w:left="708" w:firstLine="567"/>
        <w:jc w:val="both"/>
        <w:textAlignment w:val="baseline"/>
        <w:rPr>
          <w:rFonts w:ascii="Times New Roman" w:eastAsia="Times New Roman" w:hAnsi="Times New Roman" w:cs="Times New Roman"/>
          <w:sz w:val="24"/>
          <w:szCs w:val="24"/>
          <w:lang w:val="en-US"/>
        </w:rPr>
      </w:pPr>
    </w:p>
    <w:tbl>
      <w:tblPr>
        <w:tblW w:w="9214" w:type="dxa"/>
        <w:tblInd w:w="144" w:type="dxa"/>
        <w:tblCellMar>
          <w:left w:w="0" w:type="dxa"/>
          <w:right w:w="0" w:type="dxa"/>
        </w:tblCellMar>
        <w:tblLook w:val="0600" w:firstRow="0" w:lastRow="0" w:firstColumn="0" w:lastColumn="0" w:noHBand="1" w:noVBand="1"/>
      </w:tblPr>
      <w:tblGrid>
        <w:gridCol w:w="3071"/>
        <w:gridCol w:w="3071"/>
        <w:gridCol w:w="3072"/>
      </w:tblGrid>
      <w:tr w:rsidR="00371CC9" w:rsidRPr="00CC3507" w:rsidTr="00371CC9">
        <w:trPr>
          <w:trHeight w:val="494"/>
        </w:trPr>
        <w:tc>
          <w:tcPr>
            <w:tcW w:w="3071" w:type="dxa"/>
            <w:tcBorders>
              <w:top w:val="single" w:sz="24" w:space="0" w:color="4F758B"/>
              <w:left w:val="single" w:sz="24" w:space="0" w:color="4F758B"/>
              <w:bottom w:val="single" w:sz="24" w:space="0" w:color="4F758B"/>
              <w:right w:val="single" w:sz="24" w:space="0" w:color="4F758B"/>
            </w:tcBorders>
            <w:shd w:val="clear" w:color="auto" w:fill="auto"/>
            <w:tcMar>
              <w:top w:w="72" w:type="dxa"/>
              <w:left w:w="144" w:type="dxa"/>
              <w:bottom w:w="72" w:type="dxa"/>
              <w:right w:w="144" w:type="dxa"/>
            </w:tcMar>
          </w:tcPr>
          <w:p w:rsidR="00371CC9" w:rsidRPr="00CC3507" w:rsidRDefault="00371CC9" w:rsidP="00371CC9">
            <w:pPr>
              <w:widowControl w:val="0"/>
              <w:tabs>
                <w:tab w:val="left" w:pos="8820"/>
              </w:tabs>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rPr>
            </w:pPr>
            <w:r w:rsidRPr="00CC3507">
              <w:rPr>
                <w:rFonts w:ascii="Times New Roman" w:hAnsi="Times New Roman" w:cs="Times New Roman"/>
                <w:sz w:val="24"/>
                <w:szCs w:val="24"/>
                <w:lang w:val="en-US"/>
              </w:rPr>
              <w:br w:type="page"/>
            </w:r>
            <w:r w:rsidRPr="00CC3507">
              <w:rPr>
                <w:rFonts w:ascii="Times New Roman" w:hAnsi="Times New Roman" w:cs="Times New Roman"/>
                <w:b/>
                <w:sz w:val="24"/>
                <w:szCs w:val="24"/>
                <w:lang w:val="en-US"/>
              </w:rPr>
              <w:t>Securities segment:</w:t>
            </w:r>
          </w:p>
        </w:tc>
        <w:tc>
          <w:tcPr>
            <w:tcW w:w="3071" w:type="dxa"/>
            <w:tcBorders>
              <w:top w:val="single" w:sz="24" w:space="0" w:color="4F758B"/>
              <w:left w:val="single" w:sz="24" w:space="0" w:color="4F758B"/>
              <w:bottom w:val="single" w:sz="24" w:space="0" w:color="4F758B"/>
              <w:right w:val="single" w:sz="24" w:space="0" w:color="4F758B"/>
            </w:tcBorders>
            <w:shd w:val="clear" w:color="auto" w:fill="auto"/>
            <w:tcMar>
              <w:top w:w="72" w:type="dxa"/>
              <w:left w:w="144" w:type="dxa"/>
              <w:bottom w:w="72" w:type="dxa"/>
              <w:right w:w="144" w:type="dxa"/>
            </w:tcMar>
          </w:tcPr>
          <w:p w:rsidR="00371CC9" w:rsidRPr="00CC3507" w:rsidRDefault="00371CC9" w:rsidP="00371CC9">
            <w:pPr>
              <w:widowControl w:val="0"/>
              <w:tabs>
                <w:tab w:val="left" w:pos="8820"/>
              </w:tabs>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rPr>
            </w:pPr>
            <w:r>
              <w:rPr>
                <w:rFonts w:ascii="Times New Roman" w:hAnsi="Times New Roman" w:cs="Times New Roman"/>
                <w:b/>
                <w:sz w:val="24"/>
                <w:szCs w:val="24"/>
                <w:lang w:val="en-US"/>
              </w:rPr>
              <w:t>Money</w:t>
            </w:r>
            <w:r w:rsidRPr="00CC3507">
              <w:rPr>
                <w:rFonts w:ascii="Times New Roman" w:hAnsi="Times New Roman" w:cs="Times New Roman"/>
                <w:b/>
                <w:sz w:val="24"/>
                <w:szCs w:val="24"/>
                <w:lang w:val="en-US"/>
              </w:rPr>
              <w:t xml:space="preserve"> segment:</w:t>
            </w:r>
          </w:p>
        </w:tc>
        <w:tc>
          <w:tcPr>
            <w:tcW w:w="3072" w:type="dxa"/>
            <w:tcBorders>
              <w:top w:val="single" w:sz="24" w:space="0" w:color="4F758B"/>
              <w:left w:val="single" w:sz="24" w:space="0" w:color="4F758B"/>
              <w:bottom w:val="single" w:sz="24" w:space="0" w:color="4F758B"/>
              <w:right w:val="single" w:sz="24" w:space="0" w:color="4F758B"/>
            </w:tcBorders>
            <w:shd w:val="clear" w:color="auto" w:fill="auto"/>
            <w:tcMar>
              <w:top w:w="72" w:type="dxa"/>
              <w:left w:w="144" w:type="dxa"/>
              <w:bottom w:w="72" w:type="dxa"/>
              <w:right w:w="144" w:type="dxa"/>
            </w:tcMar>
          </w:tcPr>
          <w:p w:rsidR="00371CC9" w:rsidRPr="00CC3507" w:rsidRDefault="00371CC9" w:rsidP="00371CC9">
            <w:pPr>
              <w:widowControl w:val="0"/>
              <w:tabs>
                <w:tab w:val="left" w:pos="8820"/>
              </w:tabs>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rPr>
            </w:pPr>
            <w:r w:rsidRPr="00CC3507">
              <w:rPr>
                <w:rFonts w:ascii="Times New Roman" w:hAnsi="Times New Roman" w:cs="Times New Roman"/>
                <w:b/>
                <w:sz w:val="24"/>
                <w:szCs w:val="24"/>
                <w:lang w:val="en-US"/>
              </w:rPr>
              <w:t>Commodities segment:</w:t>
            </w:r>
          </w:p>
        </w:tc>
      </w:tr>
      <w:tr w:rsidR="00371CC9" w:rsidRPr="009F55B7" w:rsidTr="00371CC9">
        <w:trPr>
          <w:trHeight w:val="4363"/>
        </w:trPr>
        <w:tc>
          <w:tcPr>
            <w:tcW w:w="3071" w:type="dxa"/>
            <w:tcBorders>
              <w:top w:val="single" w:sz="24" w:space="0" w:color="4F758B"/>
              <w:left w:val="single" w:sz="24" w:space="0" w:color="4F758B"/>
              <w:bottom w:val="single" w:sz="24" w:space="0" w:color="4F758B"/>
              <w:right w:val="single" w:sz="24" w:space="0" w:color="4F758B"/>
            </w:tcBorders>
            <w:shd w:val="clear" w:color="auto" w:fill="auto"/>
            <w:tcMar>
              <w:top w:w="72" w:type="dxa"/>
              <w:left w:w="144" w:type="dxa"/>
              <w:bottom w:w="72" w:type="dxa"/>
              <w:right w:w="144" w:type="dxa"/>
            </w:tcMar>
          </w:tcPr>
          <w:p w:rsidR="00371CC9" w:rsidRPr="00CC3507" w:rsidRDefault="00371CC9" w:rsidP="00371CC9">
            <w:pPr>
              <w:widowControl w:val="0"/>
              <w:tabs>
                <w:tab w:val="left" w:pos="8820"/>
              </w:tabs>
              <w:overflowPunct w:val="0"/>
              <w:autoSpaceDE w:val="0"/>
              <w:autoSpaceDN w:val="0"/>
              <w:adjustRightInd w:val="0"/>
              <w:spacing w:before="100" w:after="0" w:line="240" w:lineRule="auto"/>
              <w:jc w:val="center"/>
              <w:textAlignment w:val="baseline"/>
              <w:rPr>
                <w:rFonts w:ascii="Times New Roman" w:eastAsia="Times New Roman" w:hAnsi="Times New Roman" w:cs="Times New Roman"/>
                <w:b/>
                <w:sz w:val="24"/>
                <w:szCs w:val="24"/>
                <w:lang w:val="en-US"/>
              </w:rPr>
            </w:pPr>
            <w:r w:rsidRPr="00CC3507">
              <w:rPr>
                <w:rFonts w:ascii="Times New Roman" w:hAnsi="Times New Roman" w:cs="Times New Roman"/>
                <w:b/>
                <w:sz w:val="24"/>
                <w:szCs w:val="24"/>
                <w:lang w:val="en-US"/>
              </w:rPr>
              <w:t>Futures for:</w:t>
            </w:r>
          </w:p>
          <w:p w:rsidR="00371CC9" w:rsidRPr="00CC3507" w:rsidRDefault="00371CC9" w:rsidP="00371CC9">
            <w:pPr>
              <w:widowControl w:val="0"/>
              <w:numPr>
                <w:ilvl w:val="0"/>
                <w:numId w:val="22"/>
              </w:numPr>
              <w:tabs>
                <w:tab w:val="left" w:pos="8820"/>
              </w:tabs>
              <w:overflowPunct w:val="0"/>
              <w:autoSpaceDE w:val="0"/>
              <w:autoSpaceDN w:val="0"/>
              <w:adjustRightInd w:val="0"/>
              <w:spacing w:after="0" w:line="240" w:lineRule="auto"/>
              <w:ind w:left="423"/>
              <w:contextualSpacing/>
              <w:jc w:val="both"/>
              <w:textAlignment w:val="baseline"/>
              <w:rPr>
                <w:rFonts w:ascii="Times New Roman" w:eastAsia="Calibri" w:hAnsi="Times New Roman" w:cs="Times New Roman"/>
                <w:sz w:val="24"/>
                <w:szCs w:val="24"/>
                <w:lang w:val="en-US"/>
              </w:rPr>
            </w:pPr>
            <w:r w:rsidRPr="00CC3507">
              <w:rPr>
                <w:rFonts w:ascii="Times New Roman" w:eastAsia="Calibri" w:hAnsi="Times New Roman" w:cs="Times New Roman"/>
                <w:sz w:val="24"/>
                <w:szCs w:val="24"/>
                <w:lang w:val="en-US"/>
              </w:rPr>
              <w:t xml:space="preserve">most liquid </w:t>
            </w:r>
            <w:r>
              <w:rPr>
                <w:rFonts w:ascii="Times New Roman" w:eastAsia="Calibri" w:hAnsi="Times New Roman" w:cs="Times New Roman"/>
                <w:sz w:val="24"/>
                <w:szCs w:val="24"/>
                <w:lang w:val="en-US"/>
              </w:rPr>
              <w:t>equities</w:t>
            </w:r>
            <w:r w:rsidRPr="00CC3507">
              <w:rPr>
                <w:rFonts w:ascii="Times New Roman" w:eastAsia="Calibri" w:hAnsi="Times New Roman" w:cs="Times New Roman"/>
                <w:sz w:val="24"/>
                <w:szCs w:val="24"/>
                <w:lang w:val="en-US"/>
              </w:rPr>
              <w:t xml:space="preserve"> of Russian issuers</w:t>
            </w:r>
          </w:p>
          <w:p w:rsidR="00371CC9" w:rsidRPr="00CC3507" w:rsidRDefault="00371CC9" w:rsidP="00371CC9">
            <w:pPr>
              <w:widowControl w:val="0"/>
              <w:numPr>
                <w:ilvl w:val="0"/>
                <w:numId w:val="22"/>
              </w:numPr>
              <w:tabs>
                <w:tab w:val="left" w:pos="8820"/>
              </w:tabs>
              <w:overflowPunct w:val="0"/>
              <w:autoSpaceDE w:val="0"/>
              <w:autoSpaceDN w:val="0"/>
              <w:adjustRightInd w:val="0"/>
              <w:spacing w:after="0" w:line="240" w:lineRule="auto"/>
              <w:ind w:left="423"/>
              <w:contextualSpacing/>
              <w:jc w:val="both"/>
              <w:textAlignment w:val="baseline"/>
              <w:rPr>
                <w:rFonts w:ascii="Times New Roman" w:eastAsia="Times New Roman" w:hAnsi="Times New Roman" w:cs="Times New Roman"/>
                <w:sz w:val="24"/>
                <w:szCs w:val="24"/>
                <w:lang w:val="en-US"/>
              </w:rPr>
            </w:pPr>
            <w:r>
              <w:rPr>
                <w:rFonts w:ascii="Times New Roman" w:eastAsia="Calibri" w:hAnsi="Times New Roman" w:cs="Times New Roman"/>
                <w:sz w:val="24"/>
                <w:szCs w:val="24"/>
                <w:lang w:val="en-US"/>
              </w:rPr>
              <w:t>equities</w:t>
            </w:r>
            <w:r w:rsidRPr="00CC3507">
              <w:rPr>
                <w:rFonts w:ascii="Times New Roman" w:eastAsia="Calibri" w:hAnsi="Times New Roman" w:cs="Times New Roman"/>
                <w:sz w:val="24"/>
                <w:szCs w:val="24"/>
                <w:lang w:val="en-US"/>
              </w:rPr>
              <w:t xml:space="preserve"> of five leading issuers in Germany</w:t>
            </w:r>
          </w:p>
          <w:p w:rsidR="00371CC9" w:rsidRPr="00CC3507" w:rsidRDefault="00371CC9" w:rsidP="00371CC9">
            <w:pPr>
              <w:widowControl w:val="0"/>
              <w:numPr>
                <w:ilvl w:val="0"/>
                <w:numId w:val="22"/>
              </w:numPr>
              <w:tabs>
                <w:tab w:val="left" w:pos="8820"/>
              </w:tabs>
              <w:overflowPunct w:val="0"/>
              <w:autoSpaceDE w:val="0"/>
              <w:autoSpaceDN w:val="0"/>
              <w:adjustRightInd w:val="0"/>
              <w:spacing w:after="0" w:line="240" w:lineRule="auto"/>
              <w:ind w:left="423"/>
              <w:jc w:val="both"/>
              <w:textAlignment w:val="baseline"/>
              <w:rPr>
                <w:rFonts w:ascii="Times New Roman" w:eastAsia="Times New Roman" w:hAnsi="Times New Roman" w:cs="Times New Roman"/>
                <w:sz w:val="24"/>
                <w:szCs w:val="24"/>
                <w:lang w:val="en-US"/>
              </w:rPr>
            </w:pPr>
            <w:r w:rsidRPr="00CC3507">
              <w:rPr>
                <w:rFonts w:ascii="Times New Roman" w:hAnsi="Times New Roman" w:cs="Times New Roman"/>
                <w:sz w:val="24"/>
                <w:szCs w:val="24"/>
                <w:lang w:val="en-US"/>
              </w:rPr>
              <w:t>RTS and MICEX ind</w:t>
            </w:r>
            <w:r>
              <w:rPr>
                <w:rFonts w:ascii="Times New Roman" w:hAnsi="Times New Roman" w:cs="Times New Roman"/>
                <w:sz w:val="24"/>
                <w:szCs w:val="24"/>
                <w:lang w:val="en-US"/>
              </w:rPr>
              <w:t xml:space="preserve">exes  </w:t>
            </w:r>
            <w:r w:rsidRPr="00CC3507">
              <w:rPr>
                <w:rFonts w:ascii="Times New Roman" w:hAnsi="Times New Roman" w:cs="Times New Roman"/>
                <w:sz w:val="24"/>
                <w:szCs w:val="24"/>
                <w:lang w:val="en-US"/>
              </w:rPr>
              <w:t>, segment ind</w:t>
            </w:r>
            <w:r>
              <w:rPr>
                <w:rFonts w:ascii="Times New Roman" w:hAnsi="Times New Roman" w:cs="Times New Roman"/>
                <w:sz w:val="24"/>
                <w:szCs w:val="24"/>
                <w:lang w:val="en-US"/>
              </w:rPr>
              <w:t xml:space="preserve">exes </w:t>
            </w:r>
          </w:p>
          <w:p w:rsidR="00371CC9" w:rsidRPr="00CC3507" w:rsidRDefault="00371CC9" w:rsidP="00371CC9">
            <w:pPr>
              <w:widowControl w:val="0"/>
              <w:numPr>
                <w:ilvl w:val="0"/>
                <w:numId w:val="22"/>
              </w:numPr>
              <w:tabs>
                <w:tab w:val="left" w:pos="8820"/>
              </w:tabs>
              <w:overflowPunct w:val="0"/>
              <w:autoSpaceDE w:val="0"/>
              <w:autoSpaceDN w:val="0"/>
              <w:adjustRightInd w:val="0"/>
              <w:spacing w:after="0" w:line="240" w:lineRule="auto"/>
              <w:ind w:left="423"/>
              <w:jc w:val="both"/>
              <w:textAlignment w:val="baseline"/>
              <w:rPr>
                <w:rFonts w:ascii="Times New Roman" w:eastAsia="Times New Roman" w:hAnsi="Times New Roman" w:cs="Times New Roman"/>
                <w:sz w:val="24"/>
                <w:szCs w:val="24"/>
                <w:lang w:val="en-US"/>
              </w:rPr>
            </w:pPr>
            <w:r w:rsidRPr="00CC3507">
              <w:rPr>
                <w:rFonts w:ascii="Times New Roman" w:hAnsi="Times New Roman" w:cs="Times New Roman"/>
                <w:sz w:val="24"/>
                <w:szCs w:val="24"/>
                <w:lang w:val="en-US"/>
              </w:rPr>
              <w:t>RTSVX (volatility index)</w:t>
            </w:r>
          </w:p>
          <w:p w:rsidR="00371CC9" w:rsidRPr="00CC3507" w:rsidRDefault="00371CC9" w:rsidP="00371CC9">
            <w:pPr>
              <w:widowControl w:val="0"/>
              <w:numPr>
                <w:ilvl w:val="0"/>
                <w:numId w:val="22"/>
              </w:numPr>
              <w:tabs>
                <w:tab w:val="left" w:pos="8820"/>
              </w:tabs>
              <w:overflowPunct w:val="0"/>
              <w:autoSpaceDE w:val="0"/>
              <w:autoSpaceDN w:val="0"/>
              <w:adjustRightInd w:val="0"/>
              <w:spacing w:after="0" w:line="240" w:lineRule="auto"/>
              <w:ind w:left="423"/>
              <w:jc w:val="both"/>
              <w:textAlignment w:val="baseline"/>
              <w:rPr>
                <w:rFonts w:ascii="Times New Roman" w:eastAsia="Times New Roman" w:hAnsi="Times New Roman" w:cs="Times New Roman"/>
                <w:sz w:val="24"/>
                <w:szCs w:val="24"/>
                <w:lang w:val="en-US"/>
              </w:rPr>
            </w:pPr>
            <w:r w:rsidRPr="00CC3507">
              <w:rPr>
                <w:rFonts w:ascii="Times New Roman" w:hAnsi="Times New Roman" w:cs="Times New Roman"/>
                <w:sz w:val="24"/>
                <w:szCs w:val="24"/>
                <w:lang w:val="en-US"/>
              </w:rPr>
              <w:t>BRICS ind</w:t>
            </w:r>
            <w:r>
              <w:rPr>
                <w:rFonts w:ascii="Times New Roman" w:hAnsi="Times New Roman" w:cs="Times New Roman"/>
                <w:sz w:val="24"/>
                <w:szCs w:val="24"/>
                <w:lang w:val="en-US"/>
              </w:rPr>
              <w:t>exes</w:t>
            </w:r>
          </w:p>
          <w:p w:rsidR="00371CC9" w:rsidRPr="00CC3507" w:rsidRDefault="00371CC9" w:rsidP="00371CC9">
            <w:pPr>
              <w:widowControl w:val="0"/>
              <w:tabs>
                <w:tab w:val="left" w:pos="8820"/>
              </w:tabs>
              <w:overflowPunct w:val="0"/>
              <w:autoSpaceDE w:val="0"/>
              <w:autoSpaceDN w:val="0"/>
              <w:adjustRightInd w:val="0"/>
              <w:spacing w:after="0" w:line="240" w:lineRule="auto"/>
              <w:jc w:val="both"/>
              <w:textAlignment w:val="baseline"/>
              <w:rPr>
                <w:rFonts w:ascii="Times New Roman" w:hAnsi="Times New Roman" w:cs="Times New Roman"/>
                <w:sz w:val="24"/>
                <w:szCs w:val="24"/>
                <w:lang w:val="en-US"/>
              </w:rPr>
            </w:pPr>
          </w:p>
          <w:p w:rsidR="00371CC9" w:rsidRPr="00CC3507" w:rsidRDefault="00371CC9" w:rsidP="00371CC9">
            <w:pPr>
              <w:widowControl w:val="0"/>
              <w:tabs>
                <w:tab w:val="left" w:pos="8820"/>
              </w:tabs>
              <w:overflowPunct w:val="0"/>
              <w:autoSpaceDE w:val="0"/>
              <w:autoSpaceDN w:val="0"/>
              <w:adjustRightInd w:val="0"/>
              <w:spacing w:before="100" w:after="0" w:line="240" w:lineRule="auto"/>
              <w:jc w:val="center"/>
              <w:textAlignment w:val="baseline"/>
              <w:rPr>
                <w:rFonts w:ascii="Times New Roman" w:eastAsia="Times New Roman" w:hAnsi="Times New Roman" w:cs="Times New Roman"/>
                <w:b/>
                <w:sz w:val="24"/>
                <w:szCs w:val="24"/>
                <w:lang w:val="en-US"/>
              </w:rPr>
            </w:pPr>
            <w:r w:rsidRPr="00CC3507">
              <w:rPr>
                <w:rFonts w:ascii="Times New Roman" w:hAnsi="Times New Roman" w:cs="Times New Roman"/>
                <w:b/>
                <w:sz w:val="24"/>
                <w:szCs w:val="24"/>
                <w:lang w:val="en-US"/>
              </w:rPr>
              <w:t>Options for:</w:t>
            </w:r>
          </w:p>
          <w:p w:rsidR="00371CC9" w:rsidRPr="00CC3507" w:rsidRDefault="00371CC9" w:rsidP="00371CC9">
            <w:pPr>
              <w:widowControl w:val="0"/>
              <w:numPr>
                <w:ilvl w:val="0"/>
                <w:numId w:val="22"/>
              </w:numPr>
              <w:tabs>
                <w:tab w:val="left" w:pos="8820"/>
              </w:tabs>
              <w:overflowPunct w:val="0"/>
              <w:autoSpaceDE w:val="0"/>
              <w:autoSpaceDN w:val="0"/>
              <w:adjustRightInd w:val="0"/>
              <w:spacing w:after="0" w:line="240" w:lineRule="auto"/>
              <w:ind w:left="423"/>
              <w:jc w:val="both"/>
              <w:textAlignment w:val="baseline"/>
              <w:rPr>
                <w:rFonts w:ascii="Times New Roman" w:hAnsi="Times New Roman" w:cs="Times New Roman"/>
                <w:sz w:val="24"/>
                <w:szCs w:val="24"/>
                <w:lang w:val="en-US"/>
              </w:rPr>
            </w:pPr>
            <w:r w:rsidRPr="00CC3507">
              <w:rPr>
                <w:rFonts w:ascii="Times New Roman" w:hAnsi="Times New Roman" w:cs="Times New Roman"/>
                <w:sz w:val="24"/>
                <w:szCs w:val="24"/>
                <w:lang w:val="en-US"/>
              </w:rPr>
              <w:t xml:space="preserve">12 most liquid </w:t>
            </w:r>
            <w:r>
              <w:rPr>
                <w:rFonts w:ascii="Times New Roman" w:hAnsi="Times New Roman" w:cs="Times New Roman"/>
                <w:sz w:val="24"/>
                <w:szCs w:val="24"/>
                <w:lang w:val="en-US"/>
              </w:rPr>
              <w:t>equities</w:t>
            </w:r>
          </w:p>
          <w:p w:rsidR="00371CC9" w:rsidRPr="00CC3507" w:rsidRDefault="00371CC9" w:rsidP="00371CC9">
            <w:pPr>
              <w:widowControl w:val="0"/>
              <w:numPr>
                <w:ilvl w:val="0"/>
                <w:numId w:val="22"/>
              </w:numPr>
              <w:tabs>
                <w:tab w:val="left" w:pos="8820"/>
              </w:tabs>
              <w:overflowPunct w:val="0"/>
              <w:autoSpaceDE w:val="0"/>
              <w:autoSpaceDN w:val="0"/>
              <w:adjustRightInd w:val="0"/>
              <w:spacing w:after="0" w:line="240" w:lineRule="auto"/>
              <w:ind w:left="423"/>
              <w:jc w:val="both"/>
              <w:textAlignment w:val="baseline"/>
              <w:rPr>
                <w:rFonts w:ascii="Times New Roman" w:eastAsia="Times New Roman" w:hAnsi="Times New Roman" w:cs="Times New Roman"/>
                <w:sz w:val="24"/>
                <w:szCs w:val="24"/>
                <w:lang w:val="en-US"/>
              </w:rPr>
            </w:pPr>
            <w:r w:rsidRPr="00CC3507">
              <w:rPr>
                <w:rFonts w:ascii="Times New Roman" w:hAnsi="Times New Roman" w:cs="Times New Roman"/>
                <w:sz w:val="24"/>
                <w:szCs w:val="24"/>
                <w:lang w:val="en-US"/>
              </w:rPr>
              <w:t>RTS and MICEX ind</w:t>
            </w:r>
            <w:r>
              <w:rPr>
                <w:rFonts w:ascii="Times New Roman" w:hAnsi="Times New Roman" w:cs="Times New Roman"/>
                <w:sz w:val="24"/>
                <w:szCs w:val="24"/>
                <w:lang w:val="en-US"/>
              </w:rPr>
              <w:t>exes</w:t>
            </w:r>
          </w:p>
        </w:tc>
        <w:tc>
          <w:tcPr>
            <w:tcW w:w="3071" w:type="dxa"/>
            <w:tcBorders>
              <w:top w:val="single" w:sz="24" w:space="0" w:color="4F758B"/>
              <w:left w:val="single" w:sz="24" w:space="0" w:color="4F758B"/>
              <w:bottom w:val="single" w:sz="24" w:space="0" w:color="4F758B"/>
              <w:right w:val="single" w:sz="24" w:space="0" w:color="4F758B"/>
            </w:tcBorders>
            <w:shd w:val="clear" w:color="auto" w:fill="auto"/>
            <w:tcMar>
              <w:top w:w="72" w:type="dxa"/>
              <w:left w:w="144" w:type="dxa"/>
              <w:bottom w:w="72" w:type="dxa"/>
              <w:right w:w="144" w:type="dxa"/>
            </w:tcMar>
          </w:tcPr>
          <w:p w:rsidR="00371CC9" w:rsidRPr="00CC3507" w:rsidRDefault="00371CC9" w:rsidP="00371CC9">
            <w:pPr>
              <w:widowControl w:val="0"/>
              <w:tabs>
                <w:tab w:val="left" w:pos="8820"/>
              </w:tabs>
              <w:overflowPunct w:val="0"/>
              <w:autoSpaceDE w:val="0"/>
              <w:autoSpaceDN w:val="0"/>
              <w:adjustRightInd w:val="0"/>
              <w:spacing w:before="100" w:after="0" w:line="240" w:lineRule="auto"/>
              <w:jc w:val="center"/>
              <w:textAlignment w:val="baseline"/>
              <w:rPr>
                <w:rFonts w:ascii="Times New Roman" w:hAnsi="Times New Roman" w:cs="Times New Roman"/>
                <w:b/>
                <w:sz w:val="24"/>
                <w:szCs w:val="24"/>
                <w:lang w:val="en-US"/>
              </w:rPr>
            </w:pPr>
            <w:r w:rsidRPr="00CC3507">
              <w:rPr>
                <w:rFonts w:ascii="Times New Roman" w:hAnsi="Times New Roman" w:cs="Times New Roman"/>
                <w:b/>
                <w:sz w:val="24"/>
                <w:szCs w:val="24"/>
                <w:lang w:val="en-US"/>
              </w:rPr>
              <w:t>Futures for:</w:t>
            </w:r>
          </w:p>
          <w:p w:rsidR="00371CC9" w:rsidRPr="00CC3507" w:rsidRDefault="00371CC9" w:rsidP="00371CC9">
            <w:pPr>
              <w:widowControl w:val="0"/>
              <w:numPr>
                <w:ilvl w:val="0"/>
                <w:numId w:val="23"/>
              </w:numPr>
              <w:tabs>
                <w:tab w:val="left" w:pos="8820"/>
              </w:tabs>
              <w:overflowPunct w:val="0"/>
              <w:autoSpaceDE w:val="0"/>
              <w:autoSpaceDN w:val="0"/>
              <w:adjustRightInd w:val="0"/>
              <w:spacing w:after="0" w:line="240" w:lineRule="auto"/>
              <w:ind w:left="329" w:hanging="283"/>
              <w:contextualSpacing/>
              <w:jc w:val="both"/>
              <w:textAlignment w:val="baseline"/>
              <w:rPr>
                <w:rFonts w:ascii="Times New Roman" w:eastAsia="Times New Roman" w:hAnsi="Times New Roman" w:cs="Times New Roman"/>
                <w:sz w:val="24"/>
                <w:szCs w:val="24"/>
                <w:lang w:val="en-US"/>
              </w:rPr>
            </w:pPr>
            <w:r w:rsidRPr="00CC3507">
              <w:rPr>
                <w:rFonts w:ascii="Times New Roman" w:eastAsia="Calibri" w:hAnsi="Times New Roman" w:cs="Times New Roman"/>
                <w:sz w:val="24"/>
                <w:szCs w:val="24"/>
                <w:lang w:val="en-US"/>
              </w:rPr>
              <w:t xml:space="preserve">Short-term rates: Overnight </w:t>
            </w:r>
            <w:proofErr w:type="spellStart"/>
            <w:r w:rsidRPr="00CC3507">
              <w:rPr>
                <w:rFonts w:ascii="Times New Roman" w:eastAsia="Calibri" w:hAnsi="Times New Roman" w:cs="Times New Roman"/>
                <w:sz w:val="24"/>
                <w:szCs w:val="24"/>
                <w:lang w:val="en-US"/>
              </w:rPr>
              <w:t>MosPrime</w:t>
            </w:r>
            <w:proofErr w:type="spellEnd"/>
            <w:r w:rsidRPr="00CC3507">
              <w:rPr>
                <w:rFonts w:ascii="Times New Roman" w:eastAsia="Calibri" w:hAnsi="Times New Roman" w:cs="Times New Roman"/>
                <w:sz w:val="24"/>
                <w:szCs w:val="24"/>
                <w:lang w:val="en-US"/>
              </w:rPr>
              <w:t xml:space="preserve">, 3 months </w:t>
            </w:r>
            <w:proofErr w:type="spellStart"/>
            <w:r w:rsidRPr="00CC3507">
              <w:rPr>
                <w:rFonts w:ascii="Times New Roman" w:eastAsia="Calibri" w:hAnsi="Times New Roman" w:cs="Times New Roman"/>
                <w:sz w:val="24"/>
                <w:szCs w:val="24"/>
                <w:lang w:val="en-US"/>
              </w:rPr>
              <w:t>MosPrime</w:t>
            </w:r>
            <w:proofErr w:type="spellEnd"/>
          </w:p>
          <w:p w:rsidR="00371CC9" w:rsidRPr="00CC3507" w:rsidRDefault="00371CC9" w:rsidP="00371CC9">
            <w:pPr>
              <w:widowControl w:val="0"/>
              <w:numPr>
                <w:ilvl w:val="0"/>
                <w:numId w:val="23"/>
              </w:numPr>
              <w:tabs>
                <w:tab w:val="left" w:pos="8820"/>
              </w:tabs>
              <w:overflowPunct w:val="0"/>
              <w:autoSpaceDE w:val="0"/>
              <w:autoSpaceDN w:val="0"/>
              <w:adjustRightInd w:val="0"/>
              <w:spacing w:after="0" w:line="240" w:lineRule="auto"/>
              <w:ind w:left="329" w:hanging="283"/>
              <w:jc w:val="both"/>
              <w:textAlignment w:val="baseline"/>
              <w:rPr>
                <w:rFonts w:ascii="Times New Roman" w:eastAsia="Times New Roman" w:hAnsi="Times New Roman" w:cs="Times New Roman"/>
                <w:sz w:val="24"/>
                <w:szCs w:val="24"/>
                <w:lang w:val="en-US"/>
              </w:rPr>
            </w:pPr>
            <w:r w:rsidRPr="00CC3507">
              <w:rPr>
                <w:rFonts w:ascii="Times New Roman" w:hAnsi="Times New Roman" w:cs="Times New Roman"/>
                <w:sz w:val="24"/>
                <w:szCs w:val="24"/>
                <w:lang w:val="en-US"/>
              </w:rPr>
              <w:t>Currency pairs: USD/RUB, EUR/USD, EUR/RUB, AUD/USD, GBP/USD</w:t>
            </w:r>
          </w:p>
          <w:p w:rsidR="00371CC9" w:rsidRPr="00CC3507" w:rsidRDefault="00371CC9" w:rsidP="00371CC9">
            <w:pPr>
              <w:widowControl w:val="0"/>
              <w:numPr>
                <w:ilvl w:val="0"/>
                <w:numId w:val="23"/>
              </w:numPr>
              <w:tabs>
                <w:tab w:val="left" w:pos="8820"/>
              </w:tabs>
              <w:overflowPunct w:val="0"/>
              <w:autoSpaceDE w:val="0"/>
              <w:autoSpaceDN w:val="0"/>
              <w:adjustRightInd w:val="0"/>
              <w:spacing w:after="0" w:line="240" w:lineRule="auto"/>
              <w:ind w:left="329" w:hanging="283"/>
              <w:contextualSpacing/>
              <w:jc w:val="both"/>
              <w:textAlignment w:val="baseline"/>
              <w:rPr>
                <w:rFonts w:ascii="Times New Roman" w:eastAsia="Times New Roman" w:hAnsi="Times New Roman" w:cs="Times New Roman"/>
                <w:sz w:val="24"/>
                <w:szCs w:val="24"/>
                <w:lang w:val="en-US"/>
              </w:rPr>
            </w:pPr>
            <w:r w:rsidRPr="00CC3507">
              <w:rPr>
                <w:rFonts w:ascii="Times New Roman" w:eastAsia="Calibri" w:hAnsi="Times New Roman" w:cs="Times New Roman"/>
                <w:sz w:val="24"/>
                <w:szCs w:val="24"/>
                <w:lang w:val="en-US"/>
              </w:rPr>
              <w:t>2-, 4-, 6- and 10-year FLBs</w:t>
            </w:r>
          </w:p>
          <w:p w:rsidR="00371CC9" w:rsidRPr="00CC3507" w:rsidRDefault="00371CC9" w:rsidP="00371CC9">
            <w:pPr>
              <w:widowControl w:val="0"/>
              <w:tabs>
                <w:tab w:val="left" w:pos="8820"/>
              </w:tabs>
              <w:overflowPunct w:val="0"/>
              <w:autoSpaceDE w:val="0"/>
              <w:autoSpaceDN w:val="0"/>
              <w:adjustRightInd w:val="0"/>
              <w:spacing w:after="0" w:line="240" w:lineRule="auto"/>
              <w:jc w:val="both"/>
              <w:textAlignment w:val="baseline"/>
              <w:rPr>
                <w:rFonts w:ascii="Times New Roman" w:hAnsi="Times New Roman" w:cs="Times New Roman"/>
                <w:sz w:val="24"/>
                <w:szCs w:val="24"/>
                <w:lang w:val="en-US"/>
              </w:rPr>
            </w:pPr>
          </w:p>
          <w:p w:rsidR="00371CC9" w:rsidRPr="00CC3507" w:rsidRDefault="00371CC9" w:rsidP="00371CC9">
            <w:pPr>
              <w:widowControl w:val="0"/>
              <w:tabs>
                <w:tab w:val="left" w:pos="8820"/>
              </w:tabs>
              <w:overflowPunct w:val="0"/>
              <w:autoSpaceDE w:val="0"/>
              <w:autoSpaceDN w:val="0"/>
              <w:adjustRightInd w:val="0"/>
              <w:spacing w:before="100" w:after="0" w:line="240" w:lineRule="auto"/>
              <w:jc w:val="center"/>
              <w:textAlignment w:val="baseline"/>
              <w:rPr>
                <w:rFonts w:ascii="Times New Roman" w:eastAsia="Times New Roman" w:hAnsi="Times New Roman" w:cs="Times New Roman"/>
                <w:b/>
                <w:sz w:val="24"/>
                <w:szCs w:val="24"/>
                <w:lang w:val="en-US"/>
              </w:rPr>
            </w:pPr>
            <w:r w:rsidRPr="00CC3507">
              <w:rPr>
                <w:rFonts w:ascii="Times New Roman" w:hAnsi="Times New Roman" w:cs="Times New Roman"/>
                <w:b/>
                <w:sz w:val="24"/>
                <w:szCs w:val="24"/>
                <w:lang w:val="en-US"/>
              </w:rPr>
              <w:t>Options for:</w:t>
            </w:r>
          </w:p>
          <w:p w:rsidR="00371CC9" w:rsidRPr="00CC3507" w:rsidRDefault="00371CC9" w:rsidP="00371CC9">
            <w:pPr>
              <w:widowControl w:val="0"/>
              <w:numPr>
                <w:ilvl w:val="0"/>
                <w:numId w:val="22"/>
              </w:numPr>
              <w:tabs>
                <w:tab w:val="left" w:pos="8820"/>
              </w:tabs>
              <w:overflowPunct w:val="0"/>
              <w:autoSpaceDE w:val="0"/>
              <w:autoSpaceDN w:val="0"/>
              <w:adjustRightInd w:val="0"/>
              <w:spacing w:after="0" w:line="240" w:lineRule="auto"/>
              <w:ind w:left="423"/>
              <w:jc w:val="both"/>
              <w:textAlignment w:val="baseline"/>
              <w:rPr>
                <w:rFonts w:ascii="Times New Roman" w:eastAsia="Times New Roman" w:hAnsi="Times New Roman" w:cs="Times New Roman"/>
                <w:sz w:val="24"/>
                <w:szCs w:val="24"/>
                <w:lang w:val="en-US"/>
              </w:rPr>
            </w:pPr>
            <w:r w:rsidRPr="00CC3507">
              <w:rPr>
                <w:rFonts w:ascii="Times New Roman" w:hAnsi="Times New Roman" w:cs="Times New Roman"/>
                <w:sz w:val="24"/>
                <w:szCs w:val="24"/>
                <w:lang w:val="en-US"/>
              </w:rPr>
              <w:t>Currencies: USD/RUB, EUR/USD</w:t>
            </w:r>
          </w:p>
        </w:tc>
        <w:tc>
          <w:tcPr>
            <w:tcW w:w="3072" w:type="dxa"/>
            <w:tcBorders>
              <w:top w:val="single" w:sz="24" w:space="0" w:color="4F758B"/>
              <w:left w:val="single" w:sz="24" w:space="0" w:color="4F758B"/>
              <w:bottom w:val="single" w:sz="24" w:space="0" w:color="4F758B"/>
              <w:right w:val="single" w:sz="24" w:space="0" w:color="4F758B"/>
            </w:tcBorders>
            <w:shd w:val="clear" w:color="auto" w:fill="auto"/>
            <w:tcMar>
              <w:top w:w="72" w:type="dxa"/>
              <w:left w:w="144" w:type="dxa"/>
              <w:bottom w:w="72" w:type="dxa"/>
              <w:right w:w="144" w:type="dxa"/>
            </w:tcMar>
          </w:tcPr>
          <w:p w:rsidR="00371CC9" w:rsidRPr="00CC3507" w:rsidRDefault="00371CC9" w:rsidP="00371CC9">
            <w:pPr>
              <w:widowControl w:val="0"/>
              <w:tabs>
                <w:tab w:val="left" w:pos="8820"/>
              </w:tabs>
              <w:overflowPunct w:val="0"/>
              <w:autoSpaceDE w:val="0"/>
              <w:autoSpaceDN w:val="0"/>
              <w:adjustRightInd w:val="0"/>
              <w:spacing w:before="100" w:after="0" w:line="240" w:lineRule="auto"/>
              <w:jc w:val="center"/>
              <w:textAlignment w:val="baseline"/>
              <w:rPr>
                <w:rFonts w:ascii="Times New Roman" w:hAnsi="Times New Roman" w:cs="Times New Roman"/>
                <w:b/>
                <w:sz w:val="24"/>
                <w:szCs w:val="24"/>
                <w:lang w:val="en-US"/>
              </w:rPr>
            </w:pPr>
            <w:r w:rsidRPr="00CC3507">
              <w:rPr>
                <w:rFonts w:ascii="Times New Roman" w:hAnsi="Times New Roman" w:cs="Times New Roman"/>
                <w:b/>
                <w:sz w:val="24"/>
                <w:szCs w:val="24"/>
                <w:lang w:val="en-US"/>
              </w:rPr>
              <w:t>Futures for:</w:t>
            </w:r>
          </w:p>
          <w:p w:rsidR="00371CC9" w:rsidRPr="00CC3507" w:rsidRDefault="00371CC9" w:rsidP="00371CC9">
            <w:pPr>
              <w:widowControl w:val="0"/>
              <w:numPr>
                <w:ilvl w:val="0"/>
                <w:numId w:val="23"/>
              </w:numPr>
              <w:tabs>
                <w:tab w:val="left" w:pos="8820"/>
              </w:tabs>
              <w:overflowPunct w:val="0"/>
              <w:autoSpaceDE w:val="0"/>
              <w:autoSpaceDN w:val="0"/>
              <w:adjustRightInd w:val="0"/>
              <w:spacing w:after="0" w:line="240" w:lineRule="auto"/>
              <w:ind w:left="329" w:hanging="283"/>
              <w:contextualSpacing/>
              <w:jc w:val="both"/>
              <w:textAlignment w:val="baseline"/>
              <w:rPr>
                <w:rFonts w:ascii="Times New Roman" w:eastAsia="Calibri" w:hAnsi="Times New Roman" w:cs="Times New Roman"/>
                <w:sz w:val="24"/>
                <w:szCs w:val="24"/>
                <w:lang w:val="en-US"/>
              </w:rPr>
            </w:pPr>
            <w:r w:rsidRPr="00CC3507">
              <w:rPr>
                <w:rFonts w:ascii="Times New Roman" w:eastAsia="Calibri" w:hAnsi="Times New Roman" w:cs="Times New Roman"/>
                <w:sz w:val="24"/>
                <w:szCs w:val="24"/>
                <w:lang w:val="en-US"/>
              </w:rPr>
              <w:t>Oil products: Diesel, Urals, Brent</w:t>
            </w:r>
          </w:p>
          <w:p w:rsidR="00371CC9" w:rsidRPr="00CC3507" w:rsidRDefault="00371CC9" w:rsidP="00371CC9">
            <w:pPr>
              <w:widowControl w:val="0"/>
              <w:numPr>
                <w:ilvl w:val="0"/>
                <w:numId w:val="23"/>
              </w:numPr>
              <w:tabs>
                <w:tab w:val="left" w:pos="8820"/>
              </w:tabs>
              <w:overflowPunct w:val="0"/>
              <w:autoSpaceDE w:val="0"/>
              <w:autoSpaceDN w:val="0"/>
              <w:adjustRightInd w:val="0"/>
              <w:spacing w:after="0" w:line="240" w:lineRule="auto"/>
              <w:ind w:left="329" w:hanging="283"/>
              <w:contextualSpacing/>
              <w:jc w:val="both"/>
              <w:textAlignment w:val="baseline"/>
              <w:rPr>
                <w:rFonts w:ascii="Times New Roman" w:eastAsia="Calibri" w:hAnsi="Times New Roman" w:cs="Times New Roman"/>
                <w:sz w:val="24"/>
                <w:szCs w:val="24"/>
                <w:lang w:val="en-US"/>
              </w:rPr>
            </w:pPr>
            <w:r w:rsidRPr="00CC3507">
              <w:rPr>
                <w:rFonts w:ascii="Times New Roman" w:eastAsia="Calibri" w:hAnsi="Times New Roman" w:cs="Times New Roman"/>
                <w:sz w:val="24"/>
                <w:szCs w:val="24"/>
                <w:lang w:val="en-US"/>
              </w:rPr>
              <w:t>Precious metals: Gold, Silver, Platinum and Palladium</w:t>
            </w:r>
          </w:p>
          <w:p w:rsidR="00371CC9" w:rsidRPr="00CC3507" w:rsidRDefault="00371CC9" w:rsidP="00371CC9">
            <w:pPr>
              <w:widowControl w:val="0"/>
              <w:numPr>
                <w:ilvl w:val="0"/>
                <w:numId w:val="23"/>
              </w:numPr>
              <w:tabs>
                <w:tab w:val="left" w:pos="8820"/>
              </w:tabs>
              <w:overflowPunct w:val="0"/>
              <w:autoSpaceDE w:val="0"/>
              <w:autoSpaceDN w:val="0"/>
              <w:adjustRightInd w:val="0"/>
              <w:spacing w:after="0" w:line="240" w:lineRule="auto"/>
              <w:ind w:left="329" w:hanging="283"/>
              <w:contextualSpacing/>
              <w:jc w:val="both"/>
              <w:textAlignment w:val="baseline"/>
              <w:rPr>
                <w:rFonts w:ascii="Times New Roman" w:eastAsia="Calibri" w:hAnsi="Times New Roman" w:cs="Times New Roman"/>
                <w:sz w:val="24"/>
                <w:szCs w:val="24"/>
                <w:lang w:val="en-US"/>
              </w:rPr>
            </w:pPr>
            <w:r w:rsidRPr="00CC3507">
              <w:rPr>
                <w:rFonts w:ascii="Times New Roman" w:eastAsia="Calibri" w:hAnsi="Times New Roman" w:cs="Times New Roman"/>
                <w:sz w:val="24"/>
                <w:szCs w:val="24"/>
                <w:lang w:val="en-US"/>
              </w:rPr>
              <w:t>Energy ind</w:t>
            </w:r>
            <w:r>
              <w:rPr>
                <w:rFonts w:ascii="Times New Roman" w:eastAsia="Calibri" w:hAnsi="Times New Roman" w:cs="Times New Roman"/>
                <w:sz w:val="24"/>
                <w:szCs w:val="24"/>
                <w:lang w:val="en-US"/>
              </w:rPr>
              <w:t>exes</w:t>
            </w:r>
          </w:p>
          <w:p w:rsidR="00371CC9" w:rsidRPr="00CC3507" w:rsidRDefault="00371CC9" w:rsidP="00371CC9">
            <w:pPr>
              <w:widowControl w:val="0"/>
              <w:numPr>
                <w:ilvl w:val="0"/>
                <w:numId w:val="23"/>
              </w:numPr>
              <w:tabs>
                <w:tab w:val="left" w:pos="8820"/>
              </w:tabs>
              <w:overflowPunct w:val="0"/>
              <w:autoSpaceDE w:val="0"/>
              <w:autoSpaceDN w:val="0"/>
              <w:adjustRightInd w:val="0"/>
              <w:spacing w:after="0" w:line="240" w:lineRule="auto"/>
              <w:ind w:left="329" w:hanging="283"/>
              <w:contextualSpacing/>
              <w:jc w:val="both"/>
              <w:textAlignment w:val="baseline"/>
              <w:rPr>
                <w:rFonts w:ascii="Times New Roman" w:eastAsia="Calibri" w:hAnsi="Times New Roman" w:cs="Times New Roman"/>
                <w:sz w:val="24"/>
                <w:szCs w:val="24"/>
                <w:lang w:val="en-US"/>
              </w:rPr>
            </w:pPr>
            <w:r w:rsidRPr="00CC3507">
              <w:rPr>
                <w:rFonts w:ascii="Times New Roman" w:eastAsia="Calibri" w:hAnsi="Times New Roman" w:cs="Times New Roman"/>
                <w:sz w:val="24"/>
                <w:szCs w:val="24"/>
                <w:lang w:val="en-US"/>
              </w:rPr>
              <w:t>Sugar</w:t>
            </w:r>
          </w:p>
          <w:p w:rsidR="00371CC9" w:rsidRPr="00CC3507" w:rsidRDefault="00371CC9" w:rsidP="00371CC9">
            <w:pPr>
              <w:widowControl w:val="0"/>
              <w:numPr>
                <w:ilvl w:val="0"/>
                <w:numId w:val="23"/>
              </w:numPr>
              <w:tabs>
                <w:tab w:val="left" w:pos="8820"/>
              </w:tabs>
              <w:overflowPunct w:val="0"/>
              <w:autoSpaceDE w:val="0"/>
              <w:autoSpaceDN w:val="0"/>
              <w:adjustRightInd w:val="0"/>
              <w:spacing w:after="0" w:line="240" w:lineRule="auto"/>
              <w:ind w:left="329" w:hanging="283"/>
              <w:contextualSpacing/>
              <w:jc w:val="both"/>
              <w:textAlignment w:val="baseline"/>
              <w:rPr>
                <w:rFonts w:ascii="Times New Roman" w:eastAsia="Calibri" w:hAnsi="Times New Roman" w:cs="Times New Roman"/>
                <w:sz w:val="24"/>
                <w:szCs w:val="24"/>
                <w:lang w:val="en-US"/>
              </w:rPr>
            </w:pPr>
            <w:r w:rsidRPr="00CC3507">
              <w:rPr>
                <w:rFonts w:ascii="Times New Roman" w:eastAsia="Calibri" w:hAnsi="Times New Roman" w:cs="Times New Roman"/>
                <w:sz w:val="24"/>
                <w:szCs w:val="24"/>
                <w:lang w:val="en-US"/>
              </w:rPr>
              <w:t>Wheat, maize, soya, cotton</w:t>
            </w:r>
          </w:p>
          <w:p w:rsidR="00371CC9" w:rsidRPr="00CC3507" w:rsidRDefault="00371CC9" w:rsidP="00371CC9">
            <w:pPr>
              <w:widowControl w:val="0"/>
              <w:numPr>
                <w:ilvl w:val="0"/>
                <w:numId w:val="23"/>
              </w:numPr>
              <w:tabs>
                <w:tab w:val="left" w:pos="8820"/>
              </w:tabs>
              <w:overflowPunct w:val="0"/>
              <w:autoSpaceDE w:val="0"/>
              <w:autoSpaceDN w:val="0"/>
              <w:adjustRightInd w:val="0"/>
              <w:spacing w:after="0" w:line="240" w:lineRule="auto"/>
              <w:ind w:left="329" w:hanging="283"/>
              <w:contextualSpacing/>
              <w:jc w:val="both"/>
              <w:textAlignment w:val="baseline"/>
              <w:rPr>
                <w:rFonts w:ascii="Times New Roman" w:eastAsia="Calibri" w:hAnsi="Times New Roman" w:cs="Times New Roman"/>
                <w:sz w:val="24"/>
                <w:szCs w:val="24"/>
                <w:lang w:val="en-US"/>
              </w:rPr>
            </w:pPr>
            <w:r w:rsidRPr="00CC3507">
              <w:rPr>
                <w:rFonts w:ascii="Times New Roman" w:eastAsia="Calibri" w:hAnsi="Times New Roman" w:cs="Times New Roman"/>
                <w:sz w:val="24"/>
                <w:szCs w:val="24"/>
                <w:lang w:val="en-US"/>
              </w:rPr>
              <w:t>Copper</w:t>
            </w:r>
          </w:p>
          <w:p w:rsidR="00371CC9" w:rsidRPr="00CC3507" w:rsidRDefault="00371CC9" w:rsidP="00371CC9">
            <w:pPr>
              <w:widowControl w:val="0"/>
              <w:tabs>
                <w:tab w:val="left" w:pos="8820"/>
              </w:tabs>
              <w:overflowPunct w:val="0"/>
              <w:autoSpaceDE w:val="0"/>
              <w:autoSpaceDN w:val="0"/>
              <w:adjustRightInd w:val="0"/>
              <w:spacing w:before="100" w:after="0" w:line="240" w:lineRule="auto"/>
              <w:jc w:val="center"/>
              <w:textAlignment w:val="baseline"/>
              <w:rPr>
                <w:rFonts w:ascii="Times New Roman" w:hAnsi="Times New Roman" w:cs="Times New Roman"/>
                <w:b/>
                <w:sz w:val="24"/>
                <w:szCs w:val="24"/>
                <w:lang w:val="en-US"/>
              </w:rPr>
            </w:pPr>
            <w:r w:rsidRPr="00CC3507">
              <w:rPr>
                <w:rFonts w:ascii="Times New Roman" w:hAnsi="Times New Roman" w:cs="Times New Roman"/>
                <w:b/>
                <w:sz w:val="24"/>
                <w:szCs w:val="24"/>
                <w:lang w:val="en-US"/>
              </w:rPr>
              <w:t>Options for:</w:t>
            </w:r>
          </w:p>
          <w:p w:rsidR="00371CC9" w:rsidRPr="00CC3507" w:rsidRDefault="00371CC9" w:rsidP="00371CC9">
            <w:pPr>
              <w:widowControl w:val="0"/>
              <w:numPr>
                <w:ilvl w:val="0"/>
                <w:numId w:val="23"/>
              </w:numPr>
              <w:tabs>
                <w:tab w:val="left" w:pos="8820"/>
              </w:tabs>
              <w:overflowPunct w:val="0"/>
              <w:autoSpaceDE w:val="0"/>
              <w:autoSpaceDN w:val="0"/>
              <w:adjustRightInd w:val="0"/>
              <w:spacing w:after="0" w:line="240" w:lineRule="auto"/>
              <w:ind w:left="329" w:hanging="283"/>
              <w:contextualSpacing/>
              <w:jc w:val="both"/>
              <w:textAlignment w:val="baseline"/>
              <w:rPr>
                <w:rFonts w:ascii="Times New Roman" w:eastAsia="Times New Roman" w:hAnsi="Times New Roman" w:cs="Times New Roman"/>
                <w:sz w:val="24"/>
                <w:szCs w:val="24"/>
                <w:lang w:val="en-US"/>
              </w:rPr>
            </w:pPr>
            <w:r w:rsidRPr="00CC3507">
              <w:rPr>
                <w:rFonts w:ascii="Times New Roman" w:eastAsia="Calibri" w:hAnsi="Times New Roman" w:cs="Times New Roman"/>
                <w:sz w:val="24"/>
                <w:szCs w:val="24"/>
                <w:lang w:val="en-US"/>
              </w:rPr>
              <w:t>Gold, Silver, Platinum, Brent oil</w:t>
            </w:r>
          </w:p>
        </w:tc>
      </w:tr>
    </w:tbl>
    <w:p w:rsidR="00371CC9" w:rsidRPr="00CC3507" w:rsidRDefault="00371CC9" w:rsidP="00371CC9">
      <w:pPr>
        <w:widowControl w:val="0"/>
        <w:tabs>
          <w:tab w:val="left" w:pos="8820"/>
        </w:tabs>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rPr>
      </w:pPr>
    </w:p>
    <w:p w:rsidR="00371CC9" w:rsidRPr="00CC3507" w:rsidRDefault="00371CC9" w:rsidP="00371CC9">
      <w:pPr>
        <w:spacing w:after="120" w:line="240" w:lineRule="auto"/>
        <w:ind w:firstLine="567"/>
        <w:jc w:val="both"/>
        <w:rPr>
          <w:rFonts w:ascii="Times New Roman" w:hAnsi="Times New Roman" w:cs="Times New Roman"/>
          <w:sz w:val="24"/>
          <w:szCs w:val="24"/>
          <w:lang w:val="en-US" w:eastAsia="ru-RU"/>
        </w:rPr>
      </w:pPr>
      <w:r w:rsidRPr="00CC3507">
        <w:rPr>
          <w:rFonts w:ascii="Times New Roman" w:hAnsi="Times New Roman" w:cs="Times New Roman"/>
          <w:sz w:val="24"/>
          <w:szCs w:val="24"/>
          <w:lang w:val="en-US"/>
        </w:rPr>
        <w:t>Trading on the derivatives market is carried out both in the anonymous and in the negotiation modes.</w:t>
      </w:r>
    </w:p>
    <w:p w:rsidR="00371CC9" w:rsidRPr="00CC3507" w:rsidRDefault="00371CC9" w:rsidP="00371CC9">
      <w:pPr>
        <w:spacing w:after="120" w:line="240" w:lineRule="auto"/>
        <w:ind w:firstLine="567"/>
        <w:jc w:val="both"/>
        <w:rPr>
          <w:rFonts w:ascii="Times New Roman" w:hAnsi="Times New Roman" w:cs="Times New Roman"/>
          <w:sz w:val="24"/>
          <w:szCs w:val="24"/>
          <w:lang w:val="en-US" w:eastAsia="ru-RU"/>
        </w:rPr>
      </w:pPr>
    </w:p>
    <w:p w:rsidR="00371CC9" w:rsidRPr="00CC3507" w:rsidRDefault="00371CC9" w:rsidP="00371CC9">
      <w:pPr>
        <w:spacing w:after="120" w:line="240" w:lineRule="auto"/>
        <w:ind w:firstLine="567"/>
        <w:jc w:val="both"/>
        <w:rPr>
          <w:rFonts w:ascii="Times New Roman" w:hAnsi="Times New Roman" w:cs="Times New Roman"/>
          <w:sz w:val="24"/>
          <w:szCs w:val="24"/>
          <w:lang w:val="en-US" w:eastAsia="ru-RU"/>
        </w:rPr>
      </w:pPr>
      <w:r w:rsidRPr="00CC3507">
        <w:rPr>
          <w:rFonts w:ascii="Times New Roman" w:hAnsi="Times New Roman" w:cs="Times New Roman"/>
          <w:sz w:val="24"/>
          <w:szCs w:val="24"/>
          <w:lang w:val="en-US" w:eastAsia="ru-RU"/>
        </w:rPr>
        <w:t xml:space="preserve">NCC carries out clearing on </w:t>
      </w:r>
      <w:r>
        <w:rPr>
          <w:rFonts w:ascii="Times New Roman" w:hAnsi="Times New Roman" w:cs="Times New Roman"/>
          <w:sz w:val="24"/>
          <w:szCs w:val="24"/>
          <w:lang w:val="en-US" w:eastAsia="ru-RU"/>
        </w:rPr>
        <w:t>DI</w:t>
      </w:r>
      <w:r w:rsidRPr="00CC3507">
        <w:rPr>
          <w:rFonts w:ascii="Times New Roman" w:hAnsi="Times New Roman" w:cs="Times New Roman"/>
          <w:sz w:val="24"/>
          <w:szCs w:val="24"/>
          <w:lang w:val="en-US" w:eastAsia="ru-RU"/>
        </w:rPr>
        <w:t>s, concluded:</w:t>
      </w:r>
    </w:p>
    <w:p w:rsidR="00371CC9" w:rsidRPr="00CC3507" w:rsidRDefault="00371CC9" w:rsidP="00371CC9">
      <w:pPr>
        <w:widowControl w:val="0"/>
        <w:numPr>
          <w:ilvl w:val="0"/>
          <w:numId w:val="8"/>
        </w:numPr>
        <w:overflowPunct w:val="0"/>
        <w:autoSpaceDE w:val="0"/>
        <w:autoSpaceDN w:val="0"/>
        <w:adjustRightInd w:val="0"/>
        <w:spacing w:after="120" w:line="240" w:lineRule="auto"/>
        <w:ind w:left="1417" w:hanging="567"/>
        <w:contextualSpacing/>
        <w:jc w:val="both"/>
        <w:textAlignment w:val="baseline"/>
        <w:rPr>
          <w:rFonts w:ascii="Times New Roman" w:eastAsia="Times New Roman" w:hAnsi="Times New Roman" w:cs="Times New Roman"/>
          <w:sz w:val="24"/>
          <w:szCs w:val="24"/>
          <w:lang w:val="en-US"/>
        </w:rPr>
      </w:pPr>
      <w:r w:rsidRPr="00CC3507">
        <w:rPr>
          <w:rFonts w:ascii="Times New Roman" w:hAnsi="Times New Roman" w:cs="Times New Roman"/>
          <w:sz w:val="24"/>
          <w:szCs w:val="24"/>
          <w:lang w:val="en-US"/>
        </w:rPr>
        <w:t xml:space="preserve">at the </w:t>
      </w:r>
      <w:r w:rsidR="0091619C">
        <w:rPr>
          <w:rFonts w:ascii="Times New Roman" w:hAnsi="Times New Roman" w:cs="Times New Roman"/>
          <w:sz w:val="24"/>
          <w:szCs w:val="24"/>
          <w:lang w:val="en-US"/>
        </w:rPr>
        <w:t>c</w:t>
      </w:r>
      <w:r w:rsidRPr="00CC3507">
        <w:rPr>
          <w:rFonts w:ascii="Times New Roman" w:hAnsi="Times New Roman" w:cs="Times New Roman"/>
          <w:sz w:val="24"/>
          <w:szCs w:val="24"/>
          <w:lang w:val="en-US"/>
        </w:rPr>
        <w:t xml:space="preserve">learing </w:t>
      </w:r>
      <w:r w:rsidR="0091619C">
        <w:rPr>
          <w:rFonts w:ascii="Times New Roman" w:hAnsi="Times New Roman" w:cs="Times New Roman"/>
          <w:sz w:val="24"/>
          <w:szCs w:val="24"/>
          <w:lang w:val="en-US"/>
        </w:rPr>
        <w:t>m</w:t>
      </w:r>
      <w:r w:rsidRPr="00CC3507">
        <w:rPr>
          <w:rFonts w:ascii="Times New Roman" w:hAnsi="Times New Roman" w:cs="Times New Roman"/>
          <w:sz w:val="24"/>
          <w:szCs w:val="24"/>
          <w:lang w:val="en-US"/>
        </w:rPr>
        <w:t>embers' expense;</w:t>
      </w:r>
    </w:p>
    <w:p w:rsidR="00371CC9" w:rsidRPr="00CC3507" w:rsidRDefault="00371CC9" w:rsidP="00371CC9">
      <w:pPr>
        <w:widowControl w:val="0"/>
        <w:numPr>
          <w:ilvl w:val="0"/>
          <w:numId w:val="8"/>
        </w:numPr>
        <w:overflowPunct w:val="0"/>
        <w:autoSpaceDE w:val="0"/>
        <w:autoSpaceDN w:val="0"/>
        <w:adjustRightInd w:val="0"/>
        <w:spacing w:after="120" w:line="240" w:lineRule="auto"/>
        <w:ind w:left="1417" w:hanging="567"/>
        <w:contextualSpacing/>
        <w:jc w:val="both"/>
        <w:textAlignment w:val="baseline"/>
        <w:rPr>
          <w:rFonts w:ascii="Times New Roman" w:eastAsia="Times New Roman" w:hAnsi="Times New Roman" w:cs="Times New Roman"/>
          <w:sz w:val="24"/>
          <w:szCs w:val="24"/>
          <w:lang w:val="en-US"/>
        </w:rPr>
      </w:pPr>
      <w:r w:rsidRPr="00CC3507">
        <w:rPr>
          <w:rFonts w:ascii="Times New Roman" w:hAnsi="Times New Roman" w:cs="Times New Roman"/>
          <w:sz w:val="24"/>
          <w:szCs w:val="24"/>
          <w:lang w:val="en-US"/>
        </w:rPr>
        <w:t xml:space="preserve">at the expense of the </w:t>
      </w:r>
      <w:r w:rsidR="0091619C">
        <w:rPr>
          <w:rFonts w:ascii="Times New Roman" w:hAnsi="Times New Roman" w:cs="Times New Roman"/>
          <w:sz w:val="24"/>
          <w:szCs w:val="24"/>
          <w:lang w:val="en-US"/>
        </w:rPr>
        <w:t>c</w:t>
      </w:r>
      <w:r w:rsidRPr="00CC3507">
        <w:rPr>
          <w:rFonts w:ascii="Times New Roman" w:hAnsi="Times New Roman" w:cs="Times New Roman"/>
          <w:sz w:val="24"/>
          <w:szCs w:val="24"/>
          <w:lang w:val="en-US"/>
        </w:rPr>
        <w:t xml:space="preserve">lients of </w:t>
      </w:r>
      <w:r w:rsidR="0091619C">
        <w:rPr>
          <w:rFonts w:ascii="Times New Roman" w:hAnsi="Times New Roman" w:cs="Times New Roman"/>
          <w:sz w:val="24"/>
          <w:szCs w:val="24"/>
          <w:lang w:val="en-US"/>
        </w:rPr>
        <w:t>c</w:t>
      </w:r>
      <w:r w:rsidRPr="00CC3507">
        <w:rPr>
          <w:rFonts w:ascii="Times New Roman" w:hAnsi="Times New Roman" w:cs="Times New Roman"/>
          <w:sz w:val="24"/>
          <w:szCs w:val="24"/>
          <w:lang w:val="en-US"/>
        </w:rPr>
        <w:t xml:space="preserve">learing </w:t>
      </w:r>
      <w:r w:rsidR="0091619C">
        <w:rPr>
          <w:rFonts w:ascii="Times New Roman" w:hAnsi="Times New Roman" w:cs="Times New Roman"/>
          <w:sz w:val="24"/>
          <w:szCs w:val="24"/>
          <w:lang w:val="en-US"/>
        </w:rPr>
        <w:t>m</w:t>
      </w:r>
      <w:r w:rsidRPr="00CC3507">
        <w:rPr>
          <w:rFonts w:ascii="Times New Roman" w:hAnsi="Times New Roman" w:cs="Times New Roman"/>
          <w:sz w:val="24"/>
          <w:szCs w:val="24"/>
          <w:lang w:val="en-US"/>
        </w:rPr>
        <w:t>embers;</w:t>
      </w:r>
    </w:p>
    <w:p w:rsidR="00371CC9" w:rsidRPr="00CC3507" w:rsidRDefault="00371CC9" w:rsidP="00371CC9">
      <w:pPr>
        <w:widowControl w:val="0"/>
        <w:numPr>
          <w:ilvl w:val="0"/>
          <w:numId w:val="8"/>
        </w:numPr>
        <w:overflowPunct w:val="0"/>
        <w:autoSpaceDE w:val="0"/>
        <w:autoSpaceDN w:val="0"/>
        <w:adjustRightInd w:val="0"/>
        <w:spacing w:after="120" w:line="240" w:lineRule="auto"/>
        <w:ind w:left="1417" w:hanging="567"/>
        <w:contextualSpacing/>
        <w:jc w:val="both"/>
        <w:textAlignment w:val="baseline"/>
        <w:rPr>
          <w:rFonts w:ascii="Times New Roman" w:eastAsia="Times New Roman" w:hAnsi="Times New Roman" w:cs="Times New Roman"/>
          <w:sz w:val="24"/>
          <w:szCs w:val="24"/>
          <w:lang w:val="en-US"/>
        </w:rPr>
      </w:pPr>
      <w:proofErr w:type="gramStart"/>
      <w:r w:rsidRPr="00CC3507">
        <w:rPr>
          <w:rFonts w:ascii="Times New Roman" w:hAnsi="Times New Roman" w:cs="Times New Roman"/>
          <w:sz w:val="24"/>
          <w:szCs w:val="24"/>
          <w:lang w:val="en-US"/>
        </w:rPr>
        <w:t>at</w:t>
      </w:r>
      <w:proofErr w:type="gramEnd"/>
      <w:r w:rsidRPr="00CC3507">
        <w:rPr>
          <w:rFonts w:ascii="Times New Roman" w:hAnsi="Times New Roman" w:cs="Times New Roman"/>
          <w:sz w:val="24"/>
          <w:szCs w:val="24"/>
          <w:lang w:val="en-US"/>
        </w:rPr>
        <w:t xml:space="preserve"> the expense of funds in trust management of </w:t>
      </w:r>
      <w:r w:rsidR="0091619C">
        <w:rPr>
          <w:rFonts w:ascii="Times New Roman" w:hAnsi="Times New Roman" w:cs="Times New Roman"/>
          <w:sz w:val="24"/>
          <w:szCs w:val="24"/>
          <w:lang w:val="en-US"/>
        </w:rPr>
        <w:t>c</w:t>
      </w:r>
      <w:r w:rsidRPr="00CC3507">
        <w:rPr>
          <w:rFonts w:ascii="Times New Roman" w:hAnsi="Times New Roman" w:cs="Times New Roman"/>
          <w:sz w:val="24"/>
          <w:szCs w:val="24"/>
          <w:lang w:val="en-US"/>
        </w:rPr>
        <w:t xml:space="preserve">learing </w:t>
      </w:r>
      <w:r w:rsidR="0091619C">
        <w:rPr>
          <w:rFonts w:ascii="Times New Roman" w:hAnsi="Times New Roman" w:cs="Times New Roman"/>
          <w:sz w:val="24"/>
          <w:szCs w:val="24"/>
          <w:lang w:val="en-US"/>
        </w:rPr>
        <w:t>m</w:t>
      </w:r>
      <w:r w:rsidRPr="00CC3507">
        <w:rPr>
          <w:rFonts w:ascii="Times New Roman" w:hAnsi="Times New Roman" w:cs="Times New Roman"/>
          <w:sz w:val="24"/>
          <w:szCs w:val="24"/>
          <w:lang w:val="en-US"/>
        </w:rPr>
        <w:t>embers.</w:t>
      </w:r>
    </w:p>
    <w:p w:rsidR="00371CC9" w:rsidRPr="00CC3507" w:rsidRDefault="00371CC9" w:rsidP="00371CC9">
      <w:pPr>
        <w:spacing w:after="120" w:line="240" w:lineRule="auto"/>
        <w:ind w:firstLine="567"/>
        <w:jc w:val="both"/>
        <w:rPr>
          <w:rFonts w:ascii="Times New Roman" w:hAnsi="Times New Roman" w:cs="Times New Roman"/>
          <w:sz w:val="24"/>
          <w:szCs w:val="24"/>
          <w:lang w:val="en-US" w:eastAsia="ru-RU"/>
        </w:rPr>
      </w:pPr>
    </w:p>
    <w:p w:rsidR="00371CC9" w:rsidRPr="00CC3507" w:rsidRDefault="00371CC9" w:rsidP="00371CC9">
      <w:pPr>
        <w:spacing w:after="120" w:line="240" w:lineRule="auto"/>
        <w:ind w:firstLine="567"/>
        <w:jc w:val="both"/>
        <w:rPr>
          <w:rFonts w:ascii="Times New Roman" w:hAnsi="Times New Roman" w:cs="Times New Roman"/>
          <w:sz w:val="24"/>
          <w:szCs w:val="24"/>
          <w:lang w:val="en-US"/>
        </w:rPr>
      </w:pPr>
      <w:r w:rsidRPr="00CC3507">
        <w:rPr>
          <w:rFonts w:ascii="Times New Roman" w:hAnsi="Times New Roman" w:cs="Times New Roman"/>
          <w:sz w:val="24"/>
          <w:szCs w:val="24"/>
          <w:lang w:val="en-US" w:eastAsia="ru-RU"/>
        </w:rPr>
        <w:t>Clearing and trades settlements (including settlements on variation margin) occur with the involvement of NCC as of the central counterparty. This decreases the members’ risks and eliminates the necessity to introduce limits</w:t>
      </w:r>
      <w:r>
        <w:rPr>
          <w:rFonts w:ascii="Times New Roman" w:hAnsi="Times New Roman" w:cs="Times New Roman"/>
          <w:sz w:val="24"/>
          <w:szCs w:val="24"/>
          <w:lang w:val="en-US" w:eastAsia="ru-RU"/>
        </w:rPr>
        <w:t xml:space="preserve"> to each other</w:t>
      </w:r>
      <w:r w:rsidRPr="00CC3507">
        <w:rPr>
          <w:rFonts w:ascii="Times New Roman" w:hAnsi="Times New Roman" w:cs="Times New Roman"/>
          <w:sz w:val="24"/>
          <w:szCs w:val="24"/>
          <w:lang w:val="en-US" w:eastAsia="ru-RU"/>
        </w:rPr>
        <w:t xml:space="preserve">. </w:t>
      </w:r>
      <w:r w:rsidRPr="00CC3507">
        <w:rPr>
          <w:rFonts w:ascii="Times New Roman" w:hAnsi="Times New Roman" w:cs="Times New Roman"/>
          <w:sz w:val="24"/>
          <w:szCs w:val="24"/>
          <w:lang w:val="en-US"/>
        </w:rPr>
        <w:t>NCO CJSC NSD functions as settlement depository and settlement organization.</w:t>
      </w:r>
    </w:p>
    <w:p w:rsidR="00371CC9" w:rsidRPr="00CC3507" w:rsidRDefault="00371CC9" w:rsidP="00371CC9">
      <w:pPr>
        <w:spacing w:after="120" w:line="240" w:lineRule="auto"/>
        <w:ind w:firstLine="567"/>
        <w:jc w:val="both"/>
        <w:rPr>
          <w:rFonts w:ascii="Times New Roman" w:hAnsi="Times New Roman" w:cs="Times New Roman"/>
          <w:sz w:val="24"/>
          <w:szCs w:val="24"/>
          <w:lang w:val="en-US" w:eastAsia="ru-RU"/>
        </w:rPr>
      </w:pPr>
      <w:r w:rsidRPr="00CC3507">
        <w:rPr>
          <w:rFonts w:ascii="Times New Roman" w:hAnsi="Times New Roman" w:cs="Times New Roman"/>
          <w:sz w:val="24"/>
          <w:szCs w:val="24"/>
          <w:lang w:val="en-US" w:eastAsia="ru-RU"/>
        </w:rPr>
        <w:t xml:space="preserve">The accepted collateral consists of Russian </w:t>
      </w:r>
      <w:proofErr w:type="spellStart"/>
      <w:r w:rsidRPr="00CC3507">
        <w:rPr>
          <w:rFonts w:ascii="Times New Roman" w:hAnsi="Times New Roman" w:cs="Times New Roman"/>
          <w:sz w:val="24"/>
          <w:szCs w:val="24"/>
          <w:lang w:val="en-US" w:eastAsia="ru-RU"/>
        </w:rPr>
        <w:t>roubles</w:t>
      </w:r>
      <w:proofErr w:type="spellEnd"/>
      <w:r w:rsidRPr="00CC3507">
        <w:rPr>
          <w:rFonts w:ascii="Times New Roman" w:hAnsi="Times New Roman" w:cs="Times New Roman"/>
          <w:sz w:val="24"/>
          <w:szCs w:val="24"/>
          <w:lang w:val="en-US" w:eastAsia="ru-RU"/>
        </w:rPr>
        <w:t xml:space="preserve"> as well as foreign currency and securities, included in the list approved by the decision of the Clearing Centre. This list is formed in accordance with the approved methodology of selection and assessment of the foreign currency and securities, accepted as collateral. In 2013, due to the integration </w:t>
      </w:r>
      <w:proofErr w:type="gramStart"/>
      <w:r w:rsidRPr="00CC3507">
        <w:rPr>
          <w:rFonts w:ascii="Times New Roman" w:hAnsi="Times New Roman" w:cs="Times New Roman"/>
          <w:sz w:val="24"/>
          <w:szCs w:val="24"/>
          <w:lang w:val="en-US" w:eastAsia="ru-RU"/>
        </w:rPr>
        <w:t xml:space="preserve">of </w:t>
      </w:r>
      <w:r>
        <w:rPr>
          <w:rFonts w:ascii="Times New Roman" w:hAnsi="Times New Roman" w:cs="Times New Roman"/>
          <w:sz w:val="24"/>
          <w:szCs w:val="24"/>
          <w:lang w:val="en-US" w:eastAsia="ru-RU"/>
        </w:rPr>
        <w:t xml:space="preserve"> the</w:t>
      </w:r>
      <w:proofErr w:type="gramEnd"/>
      <w:r>
        <w:rPr>
          <w:rFonts w:ascii="Times New Roman" w:hAnsi="Times New Roman" w:cs="Times New Roman"/>
          <w:sz w:val="24"/>
          <w:szCs w:val="24"/>
          <w:lang w:val="en-US" w:eastAsia="ru-RU"/>
        </w:rPr>
        <w:t xml:space="preserve"> </w:t>
      </w:r>
      <w:r w:rsidRPr="00CC3507">
        <w:rPr>
          <w:rFonts w:ascii="Times New Roman" w:hAnsi="Times New Roman" w:cs="Times New Roman"/>
          <w:sz w:val="24"/>
          <w:szCs w:val="24"/>
          <w:lang w:val="en-US" w:eastAsia="ru-RU"/>
        </w:rPr>
        <w:t xml:space="preserve">FX and derivatives market, </w:t>
      </w:r>
      <w:r w:rsidR="0091619C">
        <w:rPr>
          <w:rFonts w:ascii="Times New Roman" w:hAnsi="Times New Roman" w:cs="Times New Roman"/>
          <w:sz w:val="24"/>
          <w:szCs w:val="24"/>
          <w:lang w:val="en-US" w:eastAsia="ru-RU"/>
        </w:rPr>
        <w:t xml:space="preserve"> </w:t>
      </w:r>
      <w:r w:rsidRPr="00CC3507">
        <w:rPr>
          <w:rFonts w:ascii="Times New Roman" w:hAnsi="Times New Roman" w:cs="Times New Roman"/>
          <w:sz w:val="24"/>
          <w:szCs w:val="24"/>
          <w:lang w:val="en-US" w:eastAsia="ru-RU"/>
        </w:rPr>
        <w:t xml:space="preserve">clearing members were allowed to use foreign currency (US dollars) without limits for the individual clearing collateral (the maximum share of currency, accepted as an individual clearing collateral, was fixed at 100%). </w:t>
      </w:r>
    </w:p>
    <w:p w:rsidR="00371CC9" w:rsidRPr="00CC3507" w:rsidRDefault="00371CC9" w:rsidP="00371CC9">
      <w:pPr>
        <w:spacing w:after="120" w:line="240" w:lineRule="auto"/>
        <w:ind w:firstLine="567"/>
        <w:jc w:val="both"/>
        <w:rPr>
          <w:rFonts w:ascii="Times New Roman" w:hAnsi="Times New Roman" w:cs="Times New Roman"/>
          <w:sz w:val="24"/>
          <w:szCs w:val="24"/>
          <w:lang w:val="en-US" w:eastAsia="ru-RU"/>
        </w:rPr>
      </w:pPr>
      <w:r w:rsidRPr="00CC3507">
        <w:rPr>
          <w:rFonts w:ascii="Times New Roman" w:hAnsi="Times New Roman" w:cs="Times New Roman"/>
          <w:sz w:val="24"/>
          <w:szCs w:val="24"/>
          <w:lang w:val="en-US" w:eastAsia="ru-RU"/>
        </w:rPr>
        <w:t>The improvement of clearing services and the introduction of instruments, attractive to investors, contributed to the increase of attractiveness of the derivatives market of Moscow Exchange Group and</w:t>
      </w:r>
      <w:r w:rsidR="0091619C">
        <w:rPr>
          <w:rFonts w:ascii="Times New Roman" w:hAnsi="Times New Roman" w:cs="Times New Roman"/>
          <w:sz w:val="24"/>
          <w:szCs w:val="24"/>
          <w:lang w:val="en-US" w:eastAsia="ru-RU"/>
        </w:rPr>
        <w:t xml:space="preserve"> </w:t>
      </w:r>
      <w:r w:rsidRPr="00CC3507">
        <w:rPr>
          <w:rFonts w:ascii="Times New Roman" w:hAnsi="Times New Roman" w:cs="Times New Roman"/>
          <w:sz w:val="24"/>
          <w:szCs w:val="24"/>
          <w:lang w:val="en-US" w:eastAsia="ru-RU"/>
        </w:rPr>
        <w:t>positive</w:t>
      </w:r>
      <w:r w:rsidR="0091619C">
        <w:rPr>
          <w:rFonts w:ascii="Times New Roman" w:hAnsi="Times New Roman" w:cs="Times New Roman"/>
          <w:sz w:val="24"/>
          <w:szCs w:val="24"/>
          <w:lang w:val="en-US" w:eastAsia="ru-RU"/>
        </w:rPr>
        <w:t>ly</w:t>
      </w:r>
      <w:r w:rsidRPr="00CC3507">
        <w:rPr>
          <w:rFonts w:ascii="Times New Roman" w:hAnsi="Times New Roman" w:cs="Times New Roman"/>
          <w:sz w:val="24"/>
          <w:szCs w:val="24"/>
          <w:lang w:val="en-US" w:eastAsia="ru-RU"/>
        </w:rPr>
        <w:t xml:space="preserve"> impact</w:t>
      </w:r>
      <w:r w:rsidR="0091619C">
        <w:rPr>
          <w:rFonts w:ascii="Times New Roman" w:hAnsi="Times New Roman" w:cs="Times New Roman"/>
          <w:sz w:val="24"/>
          <w:szCs w:val="24"/>
          <w:lang w:val="en-US" w:eastAsia="ru-RU"/>
        </w:rPr>
        <w:t>ed</w:t>
      </w:r>
      <w:r w:rsidRPr="00CC3507">
        <w:rPr>
          <w:rFonts w:ascii="Times New Roman" w:hAnsi="Times New Roman" w:cs="Times New Roman"/>
          <w:sz w:val="24"/>
          <w:szCs w:val="24"/>
          <w:lang w:val="en-US" w:eastAsia="ru-RU"/>
        </w:rPr>
        <w:t xml:space="preserve"> the NCC performances in this segment of the market. The commission, obtained by the Bank for clearing services on </w:t>
      </w:r>
      <w:r w:rsidR="0091619C">
        <w:rPr>
          <w:rFonts w:ascii="Times New Roman" w:hAnsi="Times New Roman" w:cs="Times New Roman"/>
          <w:sz w:val="24"/>
          <w:szCs w:val="24"/>
          <w:lang w:val="en-US" w:eastAsia="ru-RU"/>
        </w:rPr>
        <w:t xml:space="preserve">the </w:t>
      </w:r>
      <w:r w:rsidRPr="00CC3507">
        <w:rPr>
          <w:rFonts w:ascii="Times New Roman" w:hAnsi="Times New Roman" w:cs="Times New Roman"/>
          <w:sz w:val="24"/>
          <w:szCs w:val="24"/>
          <w:lang w:val="en-US" w:eastAsia="ru-RU"/>
        </w:rPr>
        <w:t xml:space="preserve">FX market, amounted in 2013 to 31,286 thousand </w:t>
      </w:r>
      <w:proofErr w:type="spellStart"/>
      <w:r w:rsidRPr="00CC3507">
        <w:rPr>
          <w:rFonts w:ascii="Times New Roman" w:hAnsi="Times New Roman" w:cs="Times New Roman"/>
          <w:sz w:val="24"/>
          <w:szCs w:val="24"/>
          <w:lang w:val="en-US" w:eastAsia="ru-RU"/>
        </w:rPr>
        <w:t>roubles</w:t>
      </w:r>
      <w:proofErr w:type="spellEnd"/>
      <w:r w:rsidRPr="00CC3507">
        <w:rPr>
          <w:rFonts w:ascii="Times New Roman" w:hAnsi="Times New Roman" w:cs="Times New Roman"/>
          <w:sz w:val="24"/>
          <w:szCs w:val="24"/>
          <w:lang w:val="en-US" w:eastAsia="ru-RU"/>
        </w:rPr>
        <w:t xml:space="preserve">. </w:t>
      </w:r>
    </w:p>
    <w:p w:rsidR="00371CC9" w:rsidRPr="00CC3507" w:rsidRDefault="00371CC9" w:rsidP="00371CC9">
      <w:pPr>
        <w:spacing w:after="120" w:line="240" w:lineRule="auto"/>
        <w:ind w:firstLine="567"/>
        <w:jc w:val="both"/>
        <w:rPr>
          <w:rFonts w:ascii="Times New Roman" w:hAnsi="Times New Roman" w:cs="Times New Roman"/>
          <w:sz w:val="24"/>
          <w:szCs w:val="24"/>
          <w:lang w:val="en-US" w:eastAsia="ru-RU"/>
        </w:rPr>
      </w:pPr>
    </w:p>
    <w:p w:rsidR="00371CC9" w:rsidRPr="00CC3507" w:rsidRDefault="00371CC9" w:rsidP="00371CC9">
      <w:pPr>
        <w:keepNext/>
        <w:widowControl w:val="0"/>
        <w:overflowPunct w:val="0"/>
        <w:autoSpaceDE w:val="0"/>
        <w:autoSpaceDN w:val="0"/>
        <w:adjustRightInd w:val="0"/>
        <w:spacing w:before="100" w:after="240" w:line="240" w:lineRule="auto"/>
        <w:jc w:val="center"/>
        <w:textAlignment w:val="baseline"/>
        <w:outlineLvl w:val="1"/>
        <w:rPr>
          <w:rFonts w:ascii="Times New Roman" w:eastAsia="Times New Roman" w:hAnsi="Times New Roman" w:cs="Times New Roman"/>
          <w:b/>
          <w:bCs/>
          <w:iCs/>
          <w:sz w:val="28"/>
          <w:szCs w:val="28"/>
          <w:lang w:val="en-US" w:eastAsia="ru-RU"/>
        </w:rPr>
      </w:pPr>
      <w:r w:rsidRPr="00CC3507">
        <w:rPr>
          <w:rFonts w:ascii="Times New Roman" w:eastAsia="Times New Roman" w:hAnsi="Times New Roman" w:cs="Times New Roman"/>
          <w:b/>
          <w:bCs/>
          <w:iCs/>
          <w:sz w:val="28"/>
          <w:szCs w:val="28"/>
          <w:lang w:val="en-US" w:eastAsia="ru-RU"/>
        </w:rPr>
        <w:t>5.4 Commodities market clearing</w:t>
      </w:r>
    </w:p>
    <w:p w:rsidR="00371CC9" w:rsidRPr="00CC3507" w:rsidRDefault="00371CC9" w:rsidP="00371CC9">
      <w:pPr>
        <w:spacing w:after="120" w:line="240" w:lineRule="auto"/>
        <w:ind w:firstLine="567"/>
        <w:jc w:val="both"/>
        <w:rPr>
          <w:rFonts w:ascii="Times New Roman" w:hAnsi="Times New Roman" w:cs="Times New Roman"/>
          <w:sz w:val="24"/>
          <w:szCs w:val="24"/>
          <w:lang w:val="en-US"/>
        </w:rPr>
      </w:pPr>
      <w:r w:rsidRPr="00CC3507">
        <w:rPr>
          <w:rFonts w:ascii="Times New Roman" w:hAnsi="Times New Roman" w:cs="Times New Roman"/>
          <w:sz w:val="24"/>
          <w:szCs w:val="24"/>
          <w:lang w:val="en-US"/>
        </w:rPr>
        <w:t xml:space="preserve">In 2013, NCC began to implement the clearing on trades concluded in the Section of oil and oil products of Open Joint Stock Company "Moscow International Commodity and Energy Exchange" (hereinafter - OJSC "MICEE"). The trades in the section of oil and oil products of MICEE include the trades involving the supply of a wide range of oil products, particularly petrol of various grades, summer and winter diesel fuels of different grades, marine fuel, residual oil, bitumen, etc. </w:t>
      </w:r>
    </w:p>
    <w:p w:rsidR="00371CC9" w:rsidRPr="007B5767" w:rsidRDefault="00371CC9" w:rsidP="00371CC9">
      <w:pPr>
        <w:spacing w:after="120" w:line="240" w:lineRule="auto"/>
        <w:ind w:firstLine="567"/>
        <w:jc w:val="both"/>
        <w:rPr>
          <w:rFonts w:ascii="Times New Roman" w:hAnsi="Times New Roman" w:cs="Times New Roman"/>
          <w:sz w:val="24"/>
          <w:szCs w:val="24"/>
          <w:lang w:val="en-US"/>
        </w:rPr>
      </w:pPr>
      <w:r w:rsidRPr="00D23E88">
        <w:rPr>
          <w:rFonts w:ascii="Times New Roman" w:hAnsi="Times New Roman" w:cs="Times New Roman"/>
          <w:sz w:val="24"/>
          <w:szCs w:val="24"/>
          <w:lang w:val="en-US"/>
        </w:rPr>
        <w:t xml:space="preserve">At the first stage, NCC carries out </w:t>
      </w:r>
      <w:r w:rsidR="00CA4966">
        <w:rPr>
          <w:rFonts w:ascii="Times New Roman" w:hAnsi="Times New Roman" w:cs="Times New Roman"/>
          <w:sz w:val="24"/>
          <w:szCs w:val="24"/>
          <w:lang w:val="en-US"/>
        </w:rPr>
        <w:t>the</w:t>
      </w:r>
      <w:r w:rsidRPr="00D23E88">
        <w:rPr>
          <w:rFonts w:ascii="Times New Roman" w:hAnsi="Times New Roman" w:cs="Times New Roman"/>
          <w:sz w:val="24"/>
          <w:szCs w:val="24"/>
          <w:lang w:val="en-US"/>
        </w:rPr>
        <w:t xml:space="preserve"> ordinary</w:t>
      </w:r>
      <w:r w:rsidRPr="007B5767">
        <w:rPr>
          <w:rFonts w:ascii="Times New Roman" w:hAnsi="Times New Roman" w:cs="Times New Roman"/>
          <w:sz w:val="24"/>
          <w:szCs w:val="24"/>
          <w:lang w:val="en-US"/>
        </w:rPr>
        <w:t xml:space="preserve"> clearing without the participation of central counterparty. The settlements on the results of clearing are carried out both directly between counterparties and through the usage of NCC's clearing account in NPO CJSC NSD, which allows reducing credit risks of</w:t>
      </w:r>
      <w:r w:rsidR="00CA4966">
        <w:rPr>
          <w:rFonts w:ascii="Times New Roman" w:hAnsi="Times New Roman" w:cs="Times New Roman"/>
          <w:sz w:val="24"/>
          <w:szCs w:val="24"/>
          <w:lang w:val="en-US"/>
        </w:rPr>
        <w:t xml:space="preserve"> c</w:t>
      </w:r>
      <w:r w:rsidRPr="007B5767">
        <w:rPr>
          <w:rFonts w:ascii="Times New Roman" w:hAnsi="Times New Roman" w:cs="Times New Roman"/>
          <w:sz w:val="24"/>
          <w:szCs w:val="24"/>
          <w:lang w:val="en-US"/>
        </w:rPr>
        <w:t xml:space="preserve">learing </w:t>
      </w:r>
      <w:r w:rsidR="00CA4966">
        <w:rPr>
          <w:rFonts w:ascii="Times New Roman" w:hAnsi="Times New Roman" w:cs="Times New Roman"/>
          <w:sz w:val="24"/>
          <w:szCs w:val="24"/>
          <w:lang w:val="en-US"/>
        </w:rPr>
        <w:t>m</w:t>
      </w:r>
      <w:r w:rsidRPr="007B5767">
        <w:rPr>
          <w:rFonts w:ascii="Times New Roman" w:hAnsi="Times New Roman" w:cs="Times New Roman"/>
          <w:sz w:val="24"/>
          <w:szCs w:val="24"/>
          <w:lang w:val="en-US"/>
        </w:rPr>
        <w:t xml:space="preserve">embers. </w:t>
      </w:r>
    </w:p>
    <w:p w:rsidR="00371CC9" w:rsidRPr="00CC3507" w:rsidRDefault="00371CC9" w:rsidP="00371CC9">
      <w:pPr>
        <w:spacing w:after="120" w:line="240" w:lineRule="auto"/>
        <w:ind w:firstLine="567"/>
        <w:jc w:val="both"/>
        <w:rPr>
          <w:rFonts w:ascii="Times New Roman" w:hAnsi="Times New Roman" w:cs="Times New Roman"/>
          <w:b/>
          <w:bCs/>
          <w:sz w:val="24"/>
          <w:szCs w:val="24"/>
          <w:lang w:val="en-US"/>
        </w:rPr>
      </w:pPr>
    </w:p>
    <w:p w:rsidR="00371CC9" w:rsidRPr="00CC3507" w:rsidRDefault="00DA0D0B" w:rsidP="00371CC9">
      <w:pPr>
        <w:keepNext/>
        <w:widowControl w:val="0"/>
        <w:overflowPunct w:val="0"/>
        <w:autoSpaceDE w:val="0"/>
        <w:autoSpaceDN w:val="0"/>
        <w:adjustRightInd w:val="0"/>
        <w:spacing w:before="100" w:after="240" w:line="240" w:lineRule="auto"/>
        <w:jc w:val="center"/>
        <w:textAlignment w:val="baseline"/>
        <w:outlineLvl w:val="1"/>
        <w:rPr>
          <w:rFonts w:ascii="Times New Roman" w:eastAsia="Times New Roman" w:hAnsi="Times New Roman" w:cs="Times New Roman"/>
          <w:b/>
          <w:bCs/>
          <w:iCs/>
          <w:sz w:val="28"/>
          <w:szCs w:val="28"/>
          <w:lang w:val="en-US" w:eastAsia="ru-RU"/>
        </w:rPr>
      </w:pPr>
      <w:r>
        <w:rPr>
          <w:rFonts w:ascii="Times New Roman" w:eastAsia="Times New Roman" w:hAnsi="Times New Roman" w:cs="Times New Roman"/>
          <w:b/>
          <w:bCs/>
          <w:iCs/>
          <w:sz w:val="28"/>
          <w:szCs w:val="28"/>
          <w:lang w:val="en-US" w:eastAsia="ru-RU"/>
        </w:rPr>
        <w:t xml:space="preserve">5.5. Standardized </w:t>
      </w:r>
      <w:r w:rsidR="00371CC9" w:rsidRPr="00CC3507">
        <w:rPr>
          <w:rFonts w:ascii="Times New Roman" w:eastAsia="Times New Roman" w:hAnsi="Times New Roman" w:cs="Times New Roman"/>
          <w:b/>
          <w:bCs/>
          <w:iCs/>
          <w:sz w:val="28"/>
          <w:szCs w:val="28"/>
          <w:lang w:val="en-US" w:eastAsia="ru-RU"/>
        </w:rPr>
        <w:t>D</w:t>
      </w:r>
      <w:r w:rsidR="00371CC9">
        <w:rPr>
          <w:rFonts w:ascii="Times New Roman" w:eastAsia="Times New Roman" w:hAnsi="Times New Roman" w:cs="Times New Roman"/>
          <w:b/>
          <w:bCs/>
          <w:iCs/>
          <w:sz w:val="28"/>
          <w:szCs w:val="28"/>
          <w:lang w:val="en-US" w:eastAsia="ru-RU"/>
        </w:rPr>
        <w:t>I</w:t>
      </w:r>
      <w:r w:rsidR="00371CC9" w:rsidRPr="00CC3507">
        <w:rPr>
          <w:rFonts w:ascii="Times New Roman" w:eastAsia="Times New Roman" w:hAnsi="Times New Roman" w:cs="Times New Roman"/>
          <w:b/>
          <w:bCs/>
          <w:iCs/>
          <w:sz w:val="28"/>
          <w:szCs w:val="28"/>
          <w:lang w:val="en-US" w:eastAsia="ru-RU"/>
        </w:rPr>
        <w:t xml:space="preserve"> market clearing </w:t>
      </w:r>
    </w:p>
    <w:p w:rsidR="00371CC9" w:rsidRPr="00CC3507" w:rsidRDefault="00371CC9" w:rsidP="00371CC9">
      <w:pPr>
        <w:spacing w:after="120" w:line="240" w:lineRule="auto"/>
        <w:ind w:firstLine="567"/>
        <w:jc w:val="both"/>
        <w:rPr>
          <w:rFonts w:ascii="Times New Roman" w:hAnsi="Times New Roman" w:cs="Times New Roman"/>
          <w:sz w:val="24"/>
          <w:szCs w:val="24"/>
          <w:lang w:val="en-US"/>
        </w:rPr>
      </w:pPr>
      <w:r w:rsidRPr="00CC3507">
        <w:rPr>
          <w:rFonts w:ascii="Times New Roman" w:hAnsi="Times New Roman" w:cs="Times New Roman"/>
          <w:sz w:val="24"/>
          <w:szCs w:val="24"/>
          <w:lang w:val="en-US"/>
        </w:rPr>
        <w:t>In 2013, a new, strategically important segment was created in the Gr</w:t>
      </w:r>
      <w:r w:rsidR="00DA0D0B">
        <w:rPr>
          <w:rFonts w:ascii="Times New Roman" w:hAnsi="Times New Roman" w:cs="Times New Roman"/>
          <w:sz w:val="24"/>
          <w:szCs w:val="24"/>
          <w:lang w:val="en-US"/>
        </w:rPr>
        <w:t xml:space="preserve">oup—the market of standardized </w:t>
      </w:r>
      <w:r w:rsidRPr="00CC3507">
        <w:rPr>
          <w:rFonts w:ascii="Times New Roman" w:hAnsi="Times New Roman" w:cs="Times New Roman"/>
          <w:sz w:val="24"/>
          <w:szCs w:val="24"/>
          <w:lang w:val="en-US"/>
        </w:rPr>
        <w:t>D</w:t>
      </w:r>
      <w:r>
        <w:rPr>
          <w:rFonts w:ascii="Times New Roman" w:hAnsi="Times New Roman" w:cs="Times New Roman"/>
          <w:sz w:val="24"/>
          <w:szCs w:val="24"/>
          <w:lang w:val="en-US"/>
        </w:rPr>
        <w:t>I</w:t>
      </w:r>
      <w:r w:rsidRPr="00CC3507">
        <w:rPr>
          <w:rFonts w:ascii="Times New Roman" w:hAnsi="Times New Roman" w:cs="Times New Roman"/>
          <w:sz w:val="24"/>
          <w:szCs w:val="24"/>
          <w:lang w:val="en-US"/>
        </w:rPr>
        <w:t xml:space="preserve">, which carries out clearing with the function of central counterparty. </w:t>
      </w:r>
    </w:p>
    <w:p w:rsidR="00371CC9" w:rsidRDefault="00371CC9" w:rsidP="00371CC9">
      <w:pPr>
        <w:spacing w:after="120" w:line="240" w:lineRule="auto"/>
        <w:ind w:firstLine="567"/>
        <w:jc w:val="both"/>
        <w:rPr>
          <w:rFonts w:ascii="Times New Roman" w:hAnsi="Times New Roman" w:cs="Times New Roman"/>
          <w:sz w:val="24"/>
          <w:szCs w:val="24"/>
          <w:lang w:val="en-US"/>
        </w:rPr>
      </w:pPr>
      <w:r w:rsidRPr="00CC3507">
        <w:rPr>
          <w:rFonts w:ascii="Times New Roman" w:hAnsi="Times New Roman" w:cs="Times New Roman"/>
          <w:sz w:val="24"/>
          <w:szCs w:val="24"/>
          <w:lang w:val="en-US"/>
        </w:rPr>
        <w:t>On the first stage, clearing is conducted on this marker for the following financial instruments: interest rate swap (IRS, OIS), foreign exchange swap (FX), interest rate-foreign exchange swap (XCCY). Several major banks have already joi</w:t>
      </w:r>
      <w:r w:rsidR="00DA0D0B">
        <w:rPr>
          <w:rFonts w:ascii="Times New Roman" w:hAnsi="Times New Roman" w:cs="Times New Roman"/>
          <w:sz w:val="24"/>
          <w:szCs w:val="24"/>
          <w:lang w:val="en-US"/>
        </w:rPr>
        <w:t xml:space="preserve">ned the market of standardized </w:t>
      </w:r>
      <w:r w:rsidRPr="00CC3507">
        <w:rPr>
          <w:rFonts w:ascii="Times New Roman" w:hAnsi="Times New Roman" w:cs="Times New Roman"/>
          <w:sz w:val="24"/>
          <w:szCs w:val="24"/>
          <w:lang w:val="en-US"/>
        </w:rPr>
        <w:t>D</w:t>
      </w:r>
      <w:r>
        <w:rPr>
          <w:rFonts w:ascii="Times New Roman" w:hAnsi="Times New Roman" w:cs="Times New Roman"/>
          <w:sz w:val="24"/>
          <w:szCs w:val="24"/>
          <w:lang w:val="en-US"/>
        </w:rPr>
        <w:t>I</w:t>
      </w:r>
      <w:r w:rsidRPr="00CC3507">
        <w:rPr>
          <w:rFonts w:ascii="Times New Roman" w:hAnsi="Times New Roman" w:cs="Times New Roman"/>
          <w:sz w:val="24"/>
          <w:szCs w:val="24"/>
          <w:lang w:val="en-US"/>
        </w:rPr>
        <w:t xml:space="preserve">. Settlements are conducted with the use of clearing accounts of NCC, opened at NSD. Clearing members make individual and collective clearing collateral both in Russian </w:t>
      </w:r>
      <w:proofErr w:type="spellStart"/>
      <w:r w:rsidRPr="00CC3507">
        <w:rPr>
          <w:rFonts w:ascii="Times New Roman" w:hAnsi="Times New Roman" w:cs="Times New Roman"/>
          <w:sz w:val="24"/>
          <w:szCs w:val="24"/>
          <w:lang w:val="en-US"/>
        </w:rPr>
        <w:t>roubles</w:t>
      </w:r>
      <w:proofErr w:type="spellEnd"/>
      <w:r w:rsidRPr="00CC3507">
        <w:rPr>
          <w:rFonts w:ascii="Times New Roman" w:hAnsi="Times New Roman" w:cs="Times New Roman"/>
          <w:sz w:val="24"/>
          <w:szCs w:val="24"/>
          <w:lang w:val="en-US"/>
        </w:rPr>
        <w:t xml:space="preserve"> and foreign currency. On the first stage, the acceptance of Russian </w:t>
      </w:r>
      <w:proofErr w:type="spellStart"/>
      <w:r w:rsidRPr="00CC3507">
        <w:rPr>
          <w:rFonts w:ascii="Times New Roman" w:hAnsi="Times New Roman" w:cs="Times New Roman"/>
          <w:sz w:val="24"/>
          <w:szCs w:val="24"/>
          <w:lang w:val="en-US"/>
        </w:rPr>
        <w:t>roubles</w:t>
      </w:r>
      <w:proofErr w:type="spellEnd"/>
      <w:r w:rsidRPr="00CC3507">
        <w:rPr>
          <w:rFonts w:ascii="Times New Roman" w:hAnsi="Times New Roman" w:cs="Times New Roman"/>
          <w:sz w:val="24"/>
          <w:szCs w:val="24"/>
          <w:lang w:val="en-US"/>
        </w:rPr>
        <w:t xml:space="preserve"> and US dollars was realized in ICC. The substantial work was done for the preparation of the launch of clearin</w:t>
      </w:r>
      <w:r w:rsidR="00DA0D0B">
        <w:rPr>
          <w:rFonts w:ascii="Times New Roman" w:hAnsi="Times New Roman" w:cs="Times New Roman"/>
          <w:sz w:val="24"/>
          <w:szCs w:val="24"/>
          <w:lang w:val="en-US"/>
        </w:rPr>
        <w:t xml:space="preserve">g with CCP on the standardized </w:t>
      </w:r>
      <w:r w:rsidRPr="00CC3507">
        <w:rPr>
          <w:rFonts w:ascii="Times New Roman" w:hAnsi="Times New Roman" w:cs="Times New Roman"/>
          <w:sz w:val="24"/>
          <w:szCs w:val="24"/>
          <w:lang w:val="en-US"/>
        </w:rPr>
        <w:t>D</w:t>
      </w:r>
      <w:r>
        <w:rPr>
          <w:rFonts w:ascii="Times New Roman" w:hAnsi="Times New Roman" w:cs="Times New Roman"/>
          <w:sz w:val="24"/>
          <w:szCs w:val="24"/>
          <w:lang w:val="en-US"/>
        </w:rPr>
        <w:t>I</w:t>
      </w:r>
      <w:r w:rsidRPr="00CC3507">
        <w:rPr>
          <w:rFonts w:ascii="Times New Roman" w:hAnsi="Times New Roman" w:cs="Times New Roman"/>
          <w:sz w:val="24"/>
          <w:szCs w:val="24"/>
          <w:lang w:val="en-US"/>
        </w:rPr>
        <w:t xml:space="preserve"> market. In particular, it included the development of the risk model and clearing rules, technological, legal and organizational </w:t>
      </w:r>
      <w:r>
        <w:rPr>
          <w:rFonts w:ascii="Times New Roman" w:hAnsi="Times New Roman" w:cs="Times New Roman"/>
          <w:sz w:val="24"/>
          <w:szCs w:val="24"/>
          <w:lang w:val="en-US"/>
        </w:rPr>
        <w:t>readiness</w:t>
      </w:r>
      <w:r w:rsidRPr="00CC3507">
        <w:rPr>
          <w:rFonts w:ascii="Times New Roman" w:hAnsi="Times New Roman" w:cs="Times New Roman"/>
          <w:sz w:val="24"/>
          <w:szCs w:val="24"/>
          <w:lang w:val="en-US"/>
        </w:rPr>
        <w:t xml:space="preserve"> and the introduction of new requirements of banking legislation, in the part of</w:t>
      </w:r>
      <w:r w:rsidR="00DA0D0B">
        <w:rPr>
          <w:rFonts w:ascii="Times New Roman" w:hAnsi="Times New Roman" w:cs="Times New Roman"/>
          <w:sz w:val="24"/>
          <w:szCs w:val="24"/>
          <w:lang w:val="en-US"/>
        </w:rPr>
        <w:t xml:space="preserve"> the accounting procedures for </w:t>
      </w:r>
      <w:r w:rsidRPr="00CC3507">
        <w:rPr>
          <w:rFonts w:ascii="Times New Roman" w:hAnsi="Times New Roman" w:cs="Times New Roman"/>
          <w:sz w:val="24"/>
          <w:szCs w:val="24"/>
          <w:lang w:val="en-US"/>
        </w:rPr>
        <w:t>D</w:t>
      </w:r>
      <w:r>
        <w:rPr>
          <w:rFonts w:ascii="Times New Roman" w:hAnsi="Times New Roman" w:cs="Times New Roman"/>
          <w:sz w:val="24"/>
          <w:szCs w:val="24"/>
          <w:lang w:val="en-US"/>
        </w:rPr>
        <w:t>I</w:t>
      </w:r>
      <w:r w:rsidRPr="00CC3507">
        <w:rPr>
          <w:rFonts w:ascii="Times New Roman" w:hAnsi="Times New Roman" w:cs="Times New Roman"/>
          <w:sz w:val="24"/>
          <w:szCs w:val="24"/>
          <w:lang w:val="en-US"/>
        </w:rPr>
        <w:t xml:space="preserve"> trades.</w:t>
      </w:r>
    </w:p>
    <w:p w:rsidR="00371CC9" w:rsidRPr="00371CC9" w:rsidRDefault="00371CC9" w:rsidP="008C2120">
      <w:pPr>
        <w:pStyle w:val="a8"/>
        <w:spacing w:after="120"/>
        <w:ind w:firstLine="567"/>
        <w:jc w:val="both"/>
        <w:rPr>
          <w:rFonts w:ascii="Times New Roman" w:eastAsia="Times New Roman" w:hAnsi="Times New Roman" w:cs="Times New Roman"/>
          <w:bCs/>
          <w:sz w:val="24"/>
          <w:szCs w:val="24"/>
        </w:rPr>
      </w:pPr>
    </w:p>
    <w:p w:rsidR="0075306F" w:rsidRDefault="0075306F" w:rsidP="00BF056B">
      <w:pPr>
        <w:spacing w:after="120" w:line="240" w:lineRule="auto"/>
        <w:ind w:firstLine="567"/>
        <w:jc w:val="both"/>
        <w:rPr>
          <w:rFonts w:ascii="Times New Roman" w:hAnsi="Times New Roman" w:cs="Times New Roman"/>
          <w:sz w:val="24"/>
          <w:szCs w:val="24"/>
          <w:lang w:val="en-US"/>
        </w:rPr>
      </w:pPr>
    </w:p>
    <w:p w:rsidR="00AA0377" w:rsidRPr="00AA0377" w:rsidRDefault="00AA0377" w:rsidP="00AA0377">
      <w:pPr>
        <w:keepNext/>
        <w:widowControl w:val="0"/>
        <w:overflowPunct w:val="0"/>
        <w:autoSpaceDE w:val="0"/>
        <w:autoSpaceDN w:val="0"/>
        <w:adjustRightInd w:val="0"/>
        <w:spacing w:before="100" w:after="120" w:line="240" w:lineRule="auto"/>
        <w:jc w:val="center"/>
        <w:textAlignment w:val="baseline"/>
        <w:outlineLvl w:val="0"/>
        <w:rPr>
          <w:rFonts w:ascii="Times New Roman" w:eastAsia="Times New Roman" w:hAnsi="Times New Roman" w:cs="Times New Roman"/>
          <w:b/>
          <w:bCs/>
          <w:kern w:val="32"/>
          <w:sz w:val="28"/>
          <w:szCs w:val="28"/>
          <w:lang w:val="en-US" w:eastAsia="ru-RU"/>
        </w:rPr>
      </w:pPr>
      <w:bookmarkStart w:id="4" w:name="_Toc391636104"/>
      <w:bookmarkStart w:id="5" w:name="_Toc391636109"/>
      <w:proofErr w:type="gramStart"/>
      <w:r w:rsidRPr="00AA0377">
        <w:rPr>
          <w:rFonts w:ascii="Times New Roman" w:eastAsia="Times New Roman" w:hAnsi="Times New Roman" w:cs="Times New Roman"/>
          <w:b/>
          <w:bCs/>
          <w:kern w:val="32"/>
          <w:sz w:val="28"/>
          <w:szCs w:val="28"/>
          <w:lang w:val="en-US" w:eastAsia="ru-RU"/>
        </w:rPr>
        <w:t>6.Proprietary</w:t>
      </w:r>
      <w:proofErr w:type="gramEnd"/>
      <w:r w:rsidRPr="00AA0377">
        <w:rPr>
          <w:rFonts w:ascii="Times New Roman" w:eastAsia="Times New Roman" w:hAnsi="Times New Roman" w:cs="Times New Roman"/>
          <w:b/>
          <w:bCs/>
          <w:kern w:val="32"/>
          <w:sz w:val="28"/>
          <w:szCs w:val="28"/>
          <w:lang w:val="en-US" w:eastAsia="ru-RU"/>
        </w:rPr>
        <w:t xml:space="preserve"> Trading Operations on Financial Markets</w:t>
      </w:r>
      <w:bookmarkEnd w:id="4"/>
    </w:p>
    <w:p w:rsidR="00AA0377" w:rsidRPr="00AA0377" w:rsidRDefault="00AA0377" w:rsidP="00AA0377">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p>
    <w:p w:rsidR="00AA0377" w:rsidRPr="00AA0377" w:rsidRDefault="00AA0377" w:rsidP="00AA0377">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 xml:space="preserve">In 2013 NCC performed trading operations on financial markets under the significant influence of the following factors and events: </w:t>
      </w:r>
    </w:p>
    <w:p w:rsidR="00AA0377" w:rsidRPr="00AA0377" w:rsidRDefault="00AA0377" w:rsidP="00472CA4">
      <w:pPr>
        <w:widowControl w:val="0"/>
        <w:numPr>
          <w:ilvl w:val="0"/>
          <w:numId w:val="27"/>
        </w:numPr>
        <w:overflowPunct w:val="0"/>
        <w:autoSpaceDE w:val="0"/>
        <w:autoSpaceDN w:val="0"/>
        <w:adjustRightInd w:val="0"/>
        <w:spacing w:after="120" w:line="240" w:lineRule="auto"/>
        <w:ind w:left="1417" w:hanging="567"/>
        <w:contextualSpacing/>
        <w:jc w:val="both"/>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NCC received a status of a qualif</w:t>
      </w:r>
      <w:r w:rsidR="00F9243E">
        <w:rPr>
          <w:rFonts w:ascii="Times New Roman" w:eastAsia="Times New Roman" w:hAnsi="Times New Roman" w:cs="Times New Roman"/>
          <w:sz w:val="24"/>
          <w:szCs w:val="24"/>
          <w:lang w:val="en-US" w:eastAsia="ru-RU"/>
        </w:rPr>
        <w:t>ying central</w:t>
      </w:r>
      <w:r w:rsidRPr="00AA0377">
        <w:rPr>
          <w:rFonts w:ascii="Times New Roman" w:eastAsia="Times New Roman" w:hAnsi="Times New Roman" w:cs="Times New Roman"/>
          <w:sz w:val="24"/>
          <w:szCs w:val="24"/>
          <w:lang w:val="en-US" w:eastAsia="ru-RU"/>
        </w:rPr>
        <w:t xml:space="preserve"> counterparty pursuant to </w:t>
      </w:r>
      <w:r w:rsidR="00F9243E">
        <w:rPr>
          <w:rFonts w:ascii="Times New Roman" w:eastAsia="Times New Roman" w:hAnsi="Times New Roman" w:cs="Times New Roman"/>
          <w:sz w:val="24"/>
          <w:szCs w:val="24"/>
          <w:lang w:val="en-US" w:eastAsia="ru-RU"/>
        </w:rPr>
        <w:t xml:space="preserve">the </w:t>
      </w:r>
      <w:r w:rsidRPr="00AA0377">
        <w:rPr>
          <w:rFonts w:ascii="Times New Roman" w:eastAsia="Times New Roman" w:hAnsi="Times New Roman" w:cs="Times New Roman"/>
          <w:sz w:val="24"/>
          <w:szCs w:val="24"/>
          <w:lang w:val="en-US" w:eastAsia="ru-RU"/>
        </w:rPr>
        <w:t>requirements of Bank of Russia Guides No. 2919-U dated 03.12.2012;</w:t>
      </w:r>
    </w:p>
    <w:p w:rsidR="00AA0377" w:rsidRPr="00AA0377" w:rsidRDefault="00AA0377" w:rsidP="00472CA4">
      <w:pPr>
        <w:widowControl w:val="0"/>
        <w:numPr>
          <w:ilvl w:val="0"/>
          <w:numId w:val="27"/>
        </w:numPr>
        <w:overflowPunct w:val="0"/>
        <w:autoSpaceDE w:val="0"/>
        <w:autoSpaceDN w:val="0"/>
        <w:adjustRightInd w:val="0"/>
        <w:spacing w:after="120" w:line="240" w:lineRule="auto"/>
        <w:ind w:left="1417" w:hanging="567"/>
        <w:contextualSpacing/>
        <w:jc w:val="both"/>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Starting of clearing activities on</w:t>
      </w:r>
      <w:r w:rsidR="00CA4966">
        <w:rPr>
          <w:rFonts w:ascii="Times New Roman" w:eastAsia="Times New Roman" w:hAnsi="Times New Roman" w:cs="Times New Roman"/>
          <w:sz w:val="24"/>
          <w:szCs w:val="24"/>
          <w:lang w:val="en-US" w:eastAsia="ru-RU"/>
        </w:rPr>
        <w:t xml:space="preserve"> the</w:t>
      </w:r>
      <w:r w:rsidRPr="00AA0377">
        <w:rPr>
          <w:rFonts w:ascii="Times New Roman" w:eastAsia="Times New Roman" w:hAnsi="Times New Roman" w:cs="Times New Roman"/>
          <w:sz w:val="24"/>
          <w:szCs w:val="24"/>
          <w:lang w:val="en-US" w:eastAsia="ru-RU"/>
        </w:rPr>
        <w:t xml:space="preserve"> </w:t>
      </w:r>
      <w:r w:rsidR="00CA4966">
        <w:rPr>
          <w:rFonts w:ascii="Times New Roman" w:eastAsia="Times New Roman" w:hAnsi="Times New Roman" w:cs="Times New Roman"/>
          <w:sz w:val="24"/>
          <w:szCs w:val="24"/>
          <w:lang w:val="en-US" w:eastAsia="ru-RU"/>
        </w:rPr>
        <w:t>REPO</w:t>
      </w:r>
      <w:r w:rsidRPr="00AA0377">
        <w:rPr>
          <w:rFonts w:ascii="Times New Roman" w:eastAsia="Times New Roman" w:hAnsi="Times New Roman" w:cs="Times New Roman"/>
          <w:sz w:val="24"/>
          <w:szCs w:val="24"/>
          <w:lang w:val="en-US" w:eastAsia="ru-RU"/>
        </w:rPr>
        <w:t xml:space="preserve"> market with central counterparty, as well as in T+ mode on </w:t>
      </w:r>
      <w:r w:rsidR="00CA4966">
        <w:rPr>
          <w:rFonts w:ascii="Times New Roman" w:eastAsia="Times New Roman" w:hAnsi="Times New Roman" w:cs="Times New Roman"/>
          <w:sz w:val="24"/>
          <w:szCs w:val="24"/>
          <w:lang w:val="en-US" w:eastAsia="ru-RU"/>
        </w:rPr>
        <w:t xml:space="preserve">the </w:t>
      </w:r>
      <w:r w:rsidRPr="00AA0377">
        <w:rPr>
          <w:rFonts w:ascii="Times New Roman" w:eastAsia="Times New Roman" w:hAnsi="Times New Roman" w:cs="Times New Roman"/>
          <w:sz w:val="24"/>
          <w:szCs w:val="24"/>
          <w:lang w:val="en-US" w:eastAsia="ru-RU"/>
        </w:rPr>
        <w:t>stock market;</w:t>
      </w:r>
    </w:p>
    <w:p w:rsidR="00AA0377" w:rsidRPr="00AA0377" w:rsidRDefault="00AA0377" w:rsidP="00472CA4">
      <w:pPr>
        <w:widowControl w:val="0"/>
        <w:numPr>
          <w:ilvl w:val="0"/>
          <w:numId w:val="27"/>
        </w:numPr>
        <w:overflowPunct w:val="0"/>
        <w:autoSpaceDE w:val="0"/>
        <w:autoSpaceDN w:val="0"/>
        <w:adjustRightInd w:val="0"/>
        <w:spacing w:after="120" w:line="240" w:lineRule="auto"/>
        <w:ind w:left="1417" w:hanging="567"/>
        <w:contextualSpacing/>
        <w:jc w:val="both"/>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Substantial increase of</w:t>
      </w:r>
      <w:r w:rsidR="000B2640">
        <w:rPr>
          <w:rFonts w:ascii="Times New Roman" w:eastAsia="Times New Roman" w:hAnsi="Times New Roman" w:cs="Times New Roman"/>
          <w:sz w:val="24"/>
          <w:szCs w:val="24"/>
          <w:lang w:val="en-US" w:eastAsia="ru-RU"/>
        </w:rPr>
        <w:t xml:space="preserve"> </w:t>
      </w:r>
      <w:proofErr w:type="gramStart"/>
      <w:r w:rsidR="000B2640">
        <w:rPr>
          <w:rFonts w:ascii="Times New Roman" w:eastAsia="Times New Roman" w:hAnsi="Times New Roman" w:cs="Times New Roman"/>
          <w:sz w:val="24"/>
          <w:szCs w:val="24"/>
          <w:lang w:val="en-US" w:eastAsia="ru-RU"/>
        </w:rPr>
        <w:t xml:space="preserve">an </w:t>
      </w:r>
      <w:r w:rsidRPr="00AA0377">
        <w:rPr>
          <w:rFonts w:ascii="Times New Roman" w:eastAsia="Times New Roman" w:hAnsi="Times New Roman" w:cs="Times New Roman"/>
          <w:sz w:val="24"/>
          <w:szCs w:val="24"/>
          <w:lang w:val="en-US" w:eastAsia="ru-RU"/>
        </w:rPr>
        <w:t xml:space="preserve"> </w:t>
      </w:r>
      <w:r w:rsidR="00E35337" w:rsidRPr="00961E31">
        <w:rPr>
          <w:rFonts w:ascii="Times New Roman" w:hAnsi="Times New Roman" w:cs="Times New Roman"/>
          <w:sz w:val="24"/>
          <w:szCs w:val="24"/>
          <w:lang w:val="en-US"/>
        </w:rPr>
        <w:t>authorized</w:t>
      </w:r>
      <w:proofErr w:type="gramEnd"/>
      <w:r w:rsidRPr="00AA0377">
        <w:rPr>
          <w:rFonts w:ascii="Times New Roman" w:eastAsia="Times New Roman" w:hAnsi="Times New Roman" w:cs="Times New Roman"/>
          <w:sz w:val="24"/>
          <w:szCs w:val="24"/>
          <w:lang w:val="en-US" w:eastAsia="ru-RU"/>
        </w:rPr>
        <w:t xml:space="preserve"> capital.</w:t>
      </w:r>
    </w:p>
    <w:p w:rsidR="00AA0377" w:rsidRPr="00AA0377" w:rsidRDefault="00AA0377" w:rsidP="00AA0377">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p>
    <w:p w:rsidR="00AA0377" w:rsidRPr="00AA0377" w:rsidRDefault="00AA0377" w:rsidP="00AA0377">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 xml:space="preserve">NCC performed operations on financial markets pursuing the following aims: </w:t>
      </w:r>
    </w:p>
    <w:p w:rsidR="00AA0377" w:rsidRPr="00AA0377" w:rsidRDefault="00AA0377" w:rsidP="00472CA4">
      <w:pPr>
        <w:widowControl w:val="0"/>
        <w:numPr>
          <w:ilvl w:val="0"/>
          <w:numId w:val="28"/>
        </w:numPr>
        <w:overflowPunct w:val="0"/>
        <w:autoSpaceDE w:val="0"/>
        <w:autoSpaceDN w:val="0"/>
        <w:adjustRightInd w:val="0"/>
        <w:spacing w:after="120" w:line="240" w:lineRule="auto"/>
        <w:ind w:left="1417" w:hanging="567"/>
        <w:contextualSpacing/>
        <w:jc w:val="both"/>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Provide liquidity management which ensures complete fulfillment of NCC's obligations as a central counterparty;</w:t>
      </w:r>
    </w:p>
    <w:p w:rsidR="00AA0377" w:rsidRPr="00AA0377" w:rsidRDefault="00AA0377" w:rsidP="00472CA4">
      <w:pPr>
        <w:widowControl w:val="0"/>
        <w:numPr>
          <w:ilvl w:val="0"/>
          <w:numId w:val="28"/>
        </w:numPr>
        <w:overflowPunct w:val="0"/>
        <w:autoSpaceDE w:val="0"/>
        <w:autoSpaceDN w:val="0"/>
        <w:adjustRightInd w:val="0"/>
        <w:spacing w:after="120" w:line="240" w:lineRule="auto"/>
        <w:ind w:left="1417" w:hanging="567"/>
        <w:contextualSpacing/>
        <w:jc w:val="both"/>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Perform default-management functions when clearing participants fail to fulfill their obligations;</w:t>
      </w:r>
    </w:p>
    <w:p w:rsidR="00AA0377" w:rsidRPr="00AA0377" w:rsidRDefault="00AA0377" w:rsidP="00472CA4">
      <w:pPr>
        <w:widowControl w:val="0"/>
        <w:numPr>
          <w:ilvl w:val="0"/>
          <w:numId w:val="28"/>
        </w:numPr>
        <w:overflowPunct w:val="0"/>
        <w:autoSpaceDE w:val="0"/>
        <w:autoSpaceDN w:val="0"/>
        <w:adjustRightInd w:val="0"/>
        <w:spacing w:after="120" w:line="240" w:lineRule="auto"/>
        <w:ind w:left="1417" w:hanging="567"/>
        <w:contextualSpacing/>
        <w:jc w:val="both"/>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 xml:space="preserve">Receive income from operations on </w:t>
      </w:r>
      <w:r w:rsidR="000B2640">
        <w:rPr>
          <w:rFonts w:ascii="Times New Roman" w:eastAsia="Times New Roman" w:hAnsi="Times New Roman" w:cs="Times New Roman"/>
          <w:sz w:val="24"/>
          <w:szCs w:val="24"/>
          <w:lang w:val="en-US" w:eastAsia="ru-RU"/>
        </w:rPr>
        <w:t xml:space="preserve">the </w:t>
      </w:r>
      <w:r w:rsidRPr="00AA0377">
        <w:rPr>
          <w:rFonts w:ascii="Times New Roman" w:eastAsia="Times New Roman" w:hAnsi="Times New Roman" w:cs="Times New Roman"/>
          <w:sz w:val="24"/>
          <w:szCs w:val="24"/>
          <w:lang w:val="en-US" w:eastAsia="ru-RU"/>
        </w:rPr>
        <w:t>interbank market, stock market, and conversion operations.</w:t>
      </w:r>
    </w:p>
    <w:p w:rsidR="00AA0377" w:rsidRPr="00AA0377" w:rsidRDefault="00AA0377" w:rsidP="00AA0377">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p>
    <w:p w:rsidR="00AA0377" w:rsidRPr="00AA0377" w:rsidRDefault="00AA0377" w:rsidP="00AA0377">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r w:rsidRPr="00AA0377">
        <w:rPr>
          <w:rFonts w:ascii="Times New Roman" w:hAnsi="Times New Roman" w:cs="Times New Roman"/>
          <w:sz w:val="24"/>
          <w:szCs w:val="24"/>
          <w:lang w:val="en-US"/>
        </w:rPr>
        <w:t>In accordance with Federal Law No. 7-FZ dated 07.02.2011</w:t>
      </w:r>
      <w:r w:rsidRPr="00AA0377">
        <w:rPr>
          <w:rFonts w:ascii="Times New Roman" w:eastAsia="Times New Roman" w:hAnsi="Times New Roman" w:cs="Times New Roman"/>
          <w:sz w:val="24"/>
          <w:szCs w:val="24"/>
          <w:lang w:val="en-US" w:eastAsia="ru-RU"/>
        </w:rPr>
        <w:t xml:space="preserve"> </w:t>
      </w:r>
      <w:r w:rsidRPr="00AA0377">
        <w:rPr>
          <w:rFonts w:ascii="Times New Roman" w:hAnsi="Times New Roman" w:cs="Times New Roman"/>
          <w:sz w:val="24"/>
          <w:szCs w:val="24"/>
          <w:lang w:val="en-US"/>
        </w:rPr>
        <w:t xml:space="preserve">"On Clearing and Clearing activities" </w:t>
      </w:r>
      <w:r w:rsidRPr="00AA0377">
        <w:rPr>
          <w:rFonts w:ascii="Times New Roman" w:eastAsia="Times New Roman" w:hAnsi="Times New Roman" w:cs="Times New Roman"/>
          <w:sz w:val="24"/>
          <w:szCs w:val="24"/>
          <w:lang w:val="en-US" w:eastAsia="ru-RU"/>
        </w:rPr>
        <w:t>in 2013 NCC changed the method of settlements with clearing participants using clearing accounts opened in NKO CJSC “National Settlement Depository". This fact, together with the increase of number of markets, where NCC functions as central counterparty, resulted in a considerable increase of quantity of assets redistribution transactions within the framework of liquidity management ensuring complete fulfillment of</w:t>
      </w:r>
      <w:r w:rsidR="000B2640">
        <w:rPr>
          <w:rFonts w:ascii="Times New Roman" w:eastAsia="Times New Roman" w:hAnsi="Times New Roman" w:cs="Times New Roman"/>
          <w:sz w:val="24"/>
          <w:szCs w:val="24"/>
          <w:lang w:val="en-US" w:eastAsia="ru-RU"/>
        </w:rPr>
        <w:t xml:space="preserve"> </w:t>
      </w:r>
      <w:r w:rsidR="002D49A9">
        <w:rPr>
          <w:rFonts w:ascii="Times New Roman" w:eastAsia="Times New Roman" w:hAnsi="Times New Roman" w:cs="Times New Roman"/>
          <w:sz w:val="24"/>
          <w:szCs w:val="24"/>
          <w:lang w:val="en-US" w:eastAsia="ru-RU"/>
        </w:rPr>
        <w:t>the</w:t>
      </w:r>
      <w:r w:rsidR="000B2640">
        <w:rPr>
          <w:rFonts w:ascii="Times New Roman" w:eastAsia="Times New Roman" w:hAnsi="Times New Roman" w:cs="Times New Roman"/>
          <w:sz w:val="24"/>
          <w:szCs w:val="24"/>
          <w:lang w:val="en-US" w:eastAsia="ru-RU"/>
        </w:rPr>
        <w:t xml:space="preserve"> </w:t>
      </w:r>
      <w:r w:rsidRPr="00AA0377">
        <w:rPr>
          <w:rFonts w:ascii="Times New Roman" w:eastAsia="Times New Roman" w:hAnsi="Times New Roman" w:cs="Times New Roman"/>
          <w:sz w:val="24"/>
          <w:szCs w:val="24"/>
          <w:lang w:val="en-US" w:eastAsia="ru-RU"/>
        </w:rPr>
        <w:t>NCC’s obligations on clearing.</w:t>
      </w:r>
    </w:p>
    <w:p w:rsidR="00AA0377" w:rsidRPr="00AA0377" w:rsidRDefault="00AA0377" w:rsidP="00AA0377">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 xml:space="preserve">NCC’s first operations on </w:t>
      </w:r>
      <w:r w:rsidR="000B2640">
        <w:rPr>
          <w:rFonts w:ascii="Times New Roman" w:eastAsia="Times New Roman" w:hAnsi="Times New Roman" w:cs="Times New Roman"/>
          <w:sz w:val="24"/>
          <w:szCs w:val="24"/>
          <w:lang w:val="en-US" w:eastAsia="ru-RU"/>
        </w:rPr>
        <w:t xml:space="preserve">the </w:t>
      </w:r>
      <w:r w:rsidRPr="00AA0377">
        <w:rPr>
          <w:rFonts w:ascii="Times New Roman" w:eastAsia="Times New Roman" w:hAnsi="Times New Roman" w:cs="Times New Roman"/>
          <w:sz w:val="24"/>
          <w:szCs w:val="24"/>
          <w:lang w:val="en-US" w:eastAsia="ru-RU"/>
        </w:rPr>
        <w:t xml:space="preserve">stock market as central counterparty with </w:t>
      </w:r>
      <w:r w:rsidR="000B2640">
        <w:rPr>
          <w:rFonts w:ascii="Times New Roman" w:eastAsia="Times New Roman" w:hAnsi="Times New Roman" w:cs="Times New Roman"/>
          <w:sz w:val="24"/>
          <w:szCs w:val="24"/>
          <w:lang w:val="en-US" w:eastAsia="ru-RU"/>
        </w:rPr>
        <w:t>the</w:t>
      </w:r>
      <w:r w:rsidRPr="00AA0377">
        <w:rPr>
          <w:rFonts w:ascii="Times New Roman" w:eastAsia="Times New Roman" w:hAnsi="Times New Roman" w:cs="Times New Roman"/>
          <w:sz w:val="24"/>
          <w:szCs w:val="24"/>
          <w:lang w:val="en-US" w:eastAsia="ru-RU"/>
        </w:rPr>
        <w:t xml:space="preserve"> partial </w:t>
      </w:r>
      <w:r w:rsidRPr="00AA0377">
        <w:rPr>
          <w:rFonts w:ascii="Times New Roman" w:hAnsi="Times New Roman" w:cs="Times New Roman"/>
          <w:kern w:val="24"/>
          <w:sz w:val="24"/>
          <w:szCs w:val="24"/>
          <w:lang w:val="en-US"/>
        </w:rPr>
        <w:t>collateral</w:t>
      </w:r>
      <w:r w:rsidRPr="00AA0377">
        <w:rPr>
          <w:rFonts w:ascii="Times New Roman" w:eastAsia="Times New Roman" w:hAnsi="Times New Roman" w:cs="Times New Roman"/>
          <w:sz w:val="24"/>
          <w:szCs w:val="24"/>
          <w:lang w:val="en-US" w:eastAsia="ru-RU"/>
        </w:rPr>
        <w:t xml:space="preserve"> of participants’ positions (modes T+2 and REPO with CCP) in 2013 caused the necessity for default-management</w:t>
      </w:r>
      <w:r w:rsidR="00E35337">
        <w:rPr>
          <w:rFonts w:ascii="Times New Roman" w:eastAsia="Times New Roman" w:hAnsi="Times New Roman" w:cs="Times New Roman"/>
          <w:sz w:val="24"/>
          <w:szCs w:val="24"/>
          <w:lang w:val="en-US" w:eastAsia="ru-RU"/>
        </w:rPr>
        <w:t xml:space="preserve"> operations to be carried out</w:t>
      </w:r>
      <w:r w:rsidRPr="00AA0377">
        <w:rPr>
          <w:rFonts w:ascii="Times New Roman" w:eastAsia="Times New Roman" w:hAnsi="Times New Roman" w:cs="Times New Roman"/>
          <w:sz w:val="24"/>
          <w:szCs w:val="24"/>
          <w:lang w:val="en-US" w:eastAsia="ru-RU"/>
        </w:rPr>
        <w:t>, which implies the closure of non-collateralized positions of clearing participants, carrying-over the outstanding commitments to a later settlement date and liquidation netting in cases when banking licenses of banks – trading participants are revoked.</w:t>
      </w:r>
    </w:p>
    <w:p w:rsidR="00AA0377" w:rsidRPr="00AA0377" w:rsidRDefault="00AA0377" w:rsidP="00AA0377">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Within the framework of default-management, a number of operations were made in 2013:</w:t>
      </w:r>
    </w:p>
    <w:p w:rsidR="00AA0377" w:rsidRPr="00AA0377" w:rsidRDefault="00AA0377" w:rsidP="00AA0377">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118"/>
        <w:gridCol w:w="3119"/>
        <w:gridCol w:w="3119"/>
      </w:tblGrid>
      <w:tr w:rsidR="00AA0377" w:rsidRPr="00AA0377" w:rsidTr="00C8135A">
        <w:tc>
          <w:tcPr>
            <w:tcW w:w="3118" w:type="dxa"/>
            <w:tcBorders>
              <w:top w:val="single" w:sz="12" w:space="0" w:color="auto"/>
              <w:bottom w:val="single" w:sz="12" w:space="0" w:color="auto"/>
            </w:tcBorders>
            <w:shd w:val="clear" w:color="auto" w:fill="auto"/>
          </w:tcPr>
          <w:p w:rsidR="00AA0377" w:rsidRPr="00AA0377" w:rsidRDefault="00AA0377" w:rsidP="00AA0377">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Operations</w:t>
            </w:r>
          </w:p>
        </w:tc>
        <w:tc>
          <w:tcPr>
            <w:tcW w:w="3119" w:type="dxa"/>
            <w:tcBorders>
              <w:top w:val="single" w:sz="12" w:space="0" w:color="auto"/>
              <w:bottom w:val="single" w:sz="12" w:space="0" w:color="auto"/>
            </w:tcBorders>
            <w:shd w:val="clear" w:color="auto" w:fill="auto"/>
          </w:tcPr>
          <w:p w:rsidR="00AA0377" w:rsidRPr="00AA0377" w:rsidRDefault="00AA0377" w:rsidP="00AA0377">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Quantity of Operations</w:t>
            </w:r>
          </w:p>
        </w:tc>
        <w:tc>
          <w:tcPr>
            <w:tcW w:w="3119" w:type="dxa"/>
            <w:tcBorders>
              <w:top w:val="single" w:sz="12" w:space="0" w:color="auto"/>
              <w:bottom w:val="single" w:sz="12" w:space="0" w:color="auto"/>
            </w:tcBorders>
            <w:shd w:val="clear" w:color="auto" w:fill="auto"/>
          </w:tcPr>
          <w:p w:rsidR="00AA0377" w:rsidRPr="00AA0377" w:rsidRDefault="00AA0377" w:rsidP="00AA0377">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Volume, million units</w:t>
            </w:r>
          </w:p>
        </w:tc>
      </w:tr>
      <w:tr w:rsidR="00AA0377" w:rsidRPr="00AA0377" w:rsidTr="00C8135A">
        <w:tc>
          <w:tcPr>
            <w:tcW w:w="9356" w:type="dxa"/>
            <w:gridSpan w:val="3"/>
            <w:tcBorders>
              <w:top w:val="single" w:sz="12" w:space="0" w:color="auto"/>
            </w:tcBorders>
            <w:shd w:val="clear" w:color="auto" w:fill="auto"/>
          </w:tcPr>
          <w:p w:rsidR="00AA0377" w:rsidRPr="00AA0377" w:rsidRDefault="00AA0377" w:rsidP="00AA0377">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0"/>
                <w:szCs w:val="20"/>
                <w:lang w:val="en-US" w:eastAsia="ru-RU"/>
              </w:rPr>
            </w:pPr>
            <w:r w:rsidRPr="00AA0377">
              <w:rPr>
                <w:rFonts w:ascii="Times New Roman" w:hAnsi="Times New Roman" w:cs="Times New Roman"/>
                <w:sz w:val="20"/>
                <w:szCs w:val="20"/>
                <w:lang w:val="en-US"/>
              </w:rPr>
              <w:t>Foreign Exchange Market</w:t>
            </w:r>
          </w:p>
        </w:tc>
      </w:tr>
      <w:tr w:rsidR="00AA0377" w:rsidRPr="00AA0377" w:rsidTr="00C8135A">
        <w:tc>
          <w:tcPr>
            <w:tcW w:w="3118" w:type="dxa"/>
            <w:shd w:val="clear" w:color="auto" w:fill="auto"/>
          </w:tcPr>
          <w:p w:rsidR="00AA0377" w:rsidRPr="00AA0377" w:rsidRDefault="00AA0377" w:rsidP="00AA037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val="en-US" w:eastAsia="ru-RU"/>
              </w:rPr>
            </w:pPr>
            <w:r w:rsidRPr="00AA0377">
              <w:rPr>
                <w:rFonts w:ascii="Times New Roman" w:eastAsia="Times New Roman" w:hAnsi="Times New Roman" w:cs="Times New Roman"/>
                <w:i/>
                <w:sz w:val="20"/>
                <w:szCs w:val="20"/>
                <w:lang w:val="en-US" w:eastAsia="ru-RU"/>
              </w:rPr>
              <w:t>Positions transfer (SWAP)</w:t>
            </w:r>
          </w:p>
        </w:tc>
        <w:tc>
          <w:tcPr>
            <w:tcW w:w="3119"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p>
        </w:tc>
        <w:tc>
          <w:tcPr>
            <w:tcW w:w="3119"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p>
        </w:tc>
      </w:tr>
      <w:tr w:rsidR="00AA0377" w:rsidRPr="00AA0377" w:rsidTr="00C8135A">
        <w:tc>
          <w:tcPr>
            <w:tcW w:w="3118"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USD</w:t>
            </w:r>
          </w:p>
        </w:tc>
        <w:tc>
          <w:tcPr>
            <w:tcW w:w="3119"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261</w:t>
            </w:r>
          </w:p>
        </w:tc>
        <w:tc>
          <w:tcPr>
            <w:tcW w:w="3119"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1601.811</w:t>
            </w:r>
          </w:p>
        </w:tc>
      </w:tr>
      <w:tr w:rsidR="00AA0377" w:rsidRPr="00AA0377" w:rsidTr="00C8135A">
        <w:tc>
          <w:tcPr>
            <w:tcW w:w="3118"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EUR</w:t>
            </w:r>
          </w:p>
        </w:tc>
        <w:tc>
          <w:tcPr>
            <w:tcW w:w="3119"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74</w:t>
            </w:r>
          </w:p>
        </w:tc>
        <w:tc>
          <w:tcPr>
            <w:tcW w:w="3119"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121.024</w:t>
            </w:r>
          </w:p>
        </w:tc>
      </w:tr>
      <w:tr w:rsidR="00AA0377" w:rsidRPr="00AA0377" w:rsidTr="00C8135A">
        <w:tc>
          <w:tcPr>
            <w:tcW w:w="3118"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CNY</w:t>
            </w:r>
          </w:p>
        </w:tc>
        <w:tc>
          <w:tcPr>
            <w:tcW w:w="3119"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3</w:t>
            </w:r>
          </w:p>
        </w:tc>
        <w:tc>
          <w:tcPr>
            <w:tcW w:w="3119"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2.044</w:t>
            </w:r>
          </w:p>
        </w:tc>
      </w:tr>
      <w:tr w:rsidR="00AA0377" w:rsidRPr="00AA0377" w:rsidTr="00C8135A">
        <w:tc>
          <w:tcPr>
            <w:tcW w:w="3118" w:type="dxa"/>
            <w:shd w:val="clear" w:color="auto" w:fill="auto"/>
          </w:tcPr>
          <w:p w:rsidR="00AA0377" w:rsidRPr="00AA0377" w:rsidRDefault="00AA0377" w:rsidP="00AA037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val="en-US" w:eastAsia="ru-RU"/>
              </w:rPr>
            </w:pPr>
            <w:r w:rsidRPr="00AA0377">
              <w:rPr>
                <w:rFonts w:ascii="Times New Roman" w:eastAsia="Times New Roman" w:hAnsi="Times New Roman" w:cs="Times New Roman"/>
                <w:i/>
                <w:sz w:val="20"/>
                <w:szCs w:val="20"/>
                <w:lang w:val="en-US" w:eastAsia="ru-RU"/>
              </w:rPr>
              <w:t xml:space="preserve">Marginal requirements regulation </w:t>
            </w:r>
          </w:p>
        </w:tc>
        <w:tc>
          <w:tcPr>
            <w:tcW w:w="3119"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p>
        </w:tc>
        <w:tc>
          <w:tcPr>
            <w:tcW w:w="3119"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p>
        </w:tc>
      </w:tr>
      <w:tr w:rsidR="00AA0377" w:rsidRPr="00AA0377" w:rsidTr="00C8135A">
        <w:tc>
          <w:tcPr>
            <w:tcW w:w="3118"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RUB</w:t>
            </w:r>
          </w:p>
        </w:tc>
        <w:tc>
          <w:tcPr>
            <w:tcW w:w="3119"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5</w:t>
            </w:r>
          </w:p>
        </w:tc>
        <w:tc>
          <w:tcPr>
            <w:tcW w:w="3119"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98.695</w:t>
            </w:r>
          </w:p>
        </w:tc>
      </w:tr>
      <w:tr w:rsidR="00AA0377" w:rsidRPr="00AA0377" w:rsidTr="00C8135A">
        <w:tc>
          <w:tcPr>
            <w:tcW w:w="3118" w:type="dxa"/>
            <w:shd w:val="clear" w:color="auto" w:fill="auto"/>
          </w:tcPr>
          <w:p w:rsidR="00AA0377" w:rsidRPr="00AA0377" w:rsidRDefault="00AA0377" w:rsidP="00AA037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val="en-US" w:eastAsia="ru-RU"/>
              </w:rPr>
            </w:pPr>
            <w:r w:rsidRPr="00AA0377">
              <w:rPr>
                <w:rFonts w:ascii="Times New Roman" w:eastAsia="Times New Roman" w:hAnsi="Times New Roman" w:cs="Times New Roman"/>
                <w:i/>
                <w:sz w:val="20"/>
                <w:szCs w:val="20"/>
                <w:lang w:val="en-US" w:eastAsia="ru-RU"/>
              </w:rPr>
              <w:t>Positions closure</w:t>
            </w:r>
          </w:p>
        </w:tc>
        <w:tc>
          <w:tcPr>
            <w:tcW w:w="3119"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p>
        </w:tc>
        <w:tc>
          <w:tcPr>
            <w:tcW w:w="3119"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p>
        </w:tc>
      </w:tr>
      <w:tr w:rsidR="00AA0377" w:rsidRPr="00AA0377" w:rsidTr="00C8135A">
        <w:tc>
          <w:tcPr>
            <w:tcW w:w="3118"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USD</w:t>
            </w:r>
          </w:p>
        </w:tc>
        <w:tc>
          <w:tcPr>
            <w:tcW w:w="3119"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3</w:t>
            </w:r>
          </w:p>
        </w:tc>
        <w:tc>
          <w:tcPr>
            <w:tcW w:w="3119"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18.500</w:t>
            </w:r>
          </w:p>
        </w:tc>
      </w:tr>
      <w:tr w:rsidR="00AA0377" w:rsidRPr="00AA0377" w:rsidTr="00C8135A">
        <w:tc>
          <w:tcPr>
            <w:tcW w:w="3118" w:type="dxa"/>
            <w:tcBorders>
              <w:top w:val="single" w:sz="6" w:space="0" w:color="auto"/>
              <w:bottom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EUR</w:t>
            </w:r>
          </w:p>
        </w:tc>
        <w:tc>
          <w:tcPr>
            <w:tcW w:w="3119" w:type="dxa"/>
            <w:tcBorders>
              <w:top w:val="single" w:sz="6" w:space="0" w:color="auto"/>
              <w:bottom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3</w:t>
            </w:r>
          </w:p>
        </w:tc>
        <w:tc>
          <w:tcPr>
            <w:tcW w:w="3119" w:type="dxa"/>
            <w:tcBorders>
              <w:top w:val="single" w:sz="6" w:space="0" w:color="auto"/>
              <w:bottom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55.400</w:t>
            </w:r>
          </w:p>
        </w:tc>
      </w:tr>
      <w:tr w:rsidR="00AA0377" w:rsidRPr="00AA0377" w:rsidTr="00C8135A">
        <w:tc>
          <w:tcPr>
            <w:tcW w:w="9356" w:type="dxa"/>
            <w:gridSpan w:val="3"/>
            <w:tcBorders>
              <w:top w:val="single" w:sz="12" w:space="0" w:color="auto"/>
            </w:tcBorders>
            <w:shd w:val="clear" w:color="auto" w:fill="auto"/>
          </w:tcPr>
          <w:p w:rsidR="00AA0377" w:rsidRPr="00AA0377" w:rsidRDefault="00AA0377" w:rsidP="00AA0377">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Stock Market</w:t>
            </w:r>
          </w:p>
        </w:tc>
      </w:tr>
      <w:tr w:rsidR="00AA0377" w:rsidRPr="00AA0377" w:rsidTr="00C8135A">
        <w:tc>
          <w:tcPr>
            <w:tcW w:w="3118" w:type="dxa"/>
            <w:shd w:val="clear" w:color="auto" w:fill="auto"/>
          </w:tcPr>
          <w:p w:rsidR="00AA0377" w:rsidRPr="00AA0377" w:rsidRDefault="00AA0377" w:rsidP="00AA037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val="en-US" w:eastAsia="ru-RU"/>
              </w:rPr>
            </w:pPr>
            <w:r w:rsidRPr="00AA0377">
              <w:rPr>
                <w:rFonts w:ascii="Times New Roman" w:eastAsia="Times New Roman" w:hAnsi="Times New Roman" w:cs="Times New Roman"/>
                <w:i/>
                <w:sz w:val="20"/>
                <w:szCs w:val="20"/>
                <w:lang w:val="en-US" w:eastAsia="ru-RU"/>
              </w:rPr>
              <w:t>Positions transfer (REPO)</w:t>
            </w:r>
          </w:p>
        </w:tc>
        <w:tc>
          <w:tcPr>
            <w:tcW w:w="3119"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p>
        </w:tc>
        <w:tc>
          <w:tcPr>
            <w:tcW w:w="3119"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p>
        </w:tc>
      </w:tr>
      <w:tr w:rsidR="00AA0377" w:rsidRPr="00AA0377" w:rsidTr="00C8135A">
        <w:tc>
          <w:tcPr>
            <w:tcW w:w="3118" w:type="dxa"/>
            <w:tcBorders>
              <w:bottom w:val="single" w:sz="6"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RUB</w:t>
            </w:r>
          </w:p>
        </w:tc>
        <w:tc>
          <w:tcPr>
            <w:tcW w:w="3119" w:type="dxa"/>
            <w:tcBorders>
              <w:bottom w:val="single" w:sz="6"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150</w:t>
            </w:r>
          </w:p>
        </w:tc>
        <w:tc>
          <w:tcPr>
            <w:tcW w:w="3119" w:type="dxa"/>
            <w:tcBorders>
              <w:bottom w:val="single" w:sz="6"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1473.621</w:t>
            </w:r>
          </w:p>
        </w:tc>
      </w:tr>
      <w:tr w:rsidR="00AA0377" w:rsidRPr="00AA0377" w:rsidTr="00C8135A">
        <w:tc>
          <w:tcPr>
            <w:tcW w:w="3118" w:type="dxa"/>
            <w:shd w:val="clear" w:color="auto" w:fill="auto"/>
          </w:tcPr>
          <w:p w:rsidR="00AA0377" w:rsidRPr="00AA0377" w:rsidRDefault="00AA0377" w:rsidP="00AA037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val="en-US" w:eastAsia="ru-RU"/>
              </w:rPr>
            </w:pPr>
            <w:r w:rsidRPr="00AA0377">
              <w:rPr>
                <w:rFonts w:ascii="Times New Roman" w:eastAsia="Times New Roman" w:hAnsi="Times New Roman" w:cs="Times New Roman"/>
                <w:i/>
                <w:sz w:val="20"/>
                <w:szCs w:val="20"/>
                <w:lang w:val="en-US" w:eastAsia="ru-RU"/>
              </w:rPr>
              <w:t>Positions closure</w:t>
            </w:r>
          </w:p>
        </w:tc>
        <w:tc>
          <w:tcPr>
            <w:tcW w:w="3119"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p>
        </w:tc>
        <w:tc>
          <w:tcPr>
            <w:tcW w:w="3119"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p>
        </w:tc>
      </w:tr>
      <w:tr w:rsidR="00AA0377" w:rsidRPr="00AA0377" w:rsidTr="00C8135A">
        <w:tc>
          <w:tcPr>
            <w:tcW w:w="3118" w:type="dxa"/>
            <w:tcBorders>
              <w:top w:val="single" w:sz="6" w:space="0" w:color="auto"/>
              <w:bottom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RUB</w:t>
            </w:r>
          </w:p>
        </w:tc>
        <w:tc>
          <w:tcPr>
            <w:tcW w:w="3119" w:type="dxa"/>
            <w:tcBorders>
              <w:top w:val="single" w:sz="6" w:space="0" w:color="auto"/>
              <w:bottom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13</w:t>
            </w:r>
          </w:p>
        </w:tc>
        <w:tc>
          <w:tcPr>
            <w:tcW w:w="3119" w:type="dxa"/>
            <w:tcBorders>
              <w:top w:val="single" w:sz="6" w:space="0" w:color="auto"/>
              <w:bottom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0.841</w:t>
            </w:r>
          </w:p>
        </w:tc>
      </w:tr>
      <w:tr w:rsidR="00AA0377" w:rsidRPr="00AA0377" w:rsidTr="00C8135A">
        <w:tc>
          <w:tcPr>
            <w:tcW w:w="9356" w:type="dxa"/>
            <w:gridSpan w:val="3"/>
            <w:tcBorders>
              <w:top w:val="single" w:sz="12" w:space="0" w:color="auto"/>
            </w:tcBorders>
            <w:shd w:val="clear" w:color="auto" w:fill="auto"/>
          </w:tcPr>
          <w:p w:rsidR="00AA0377" w:rsidRPr="00AA0377" w:rsidRDefault="00AA0377" w:rsidP="00AA0377">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Derivatives Market</w:t>
            </w:r>
          </w:p>
        </w:tc>
      </w:tr>
      <w:tr w:rsidR="00AA0377" w:rsidRPr="00AA0377" w:rsidTr="00C8135A">
        <w:tc>
          <w:tcPr>
            <w:tcW w:w="3118" w:type="dxa"/>
            <w:shd w:val="clear" w:color="auto" w:fill="auto"/>
          </w:tcPr>
          <w:p w:rsidR="00AA0377" w:rsidRPr="00AA0377" w:rsidRDefault="00AA0377" w:rsidP="00AA037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val="en-US" w:eastAsia="ru-RU"/>
              </w:rPr>
            </w:pPr>
            <w:r w:rsidRPr="00AA0377">
              <w:rPr>
                <w:rFonts w:ascii="Times New Roman" w:eastAsia="Times New Roman" w:hAnsi="Times New Roman" w:cs="Times New Roman"/>
                <w:i/>
                <w:sz w:val="20"/>
                <w:szCs w:val="20"/>
                <w:lang w:val="en-US" w:eastAsia="ru-RU"/>
              </w:rPr>
              <w:t>Positions closure</w:t>
            </w:r>
          </w:p>
        </w:tc>
        <w:tc>
          <w:tcPr>
            <w:tcW w:w="3119"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p>
        </w:tc>
        <w:tc>
          <w:tcPr>
            <w:tcW w:w="3119"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p>
        </w:tc>
      </w:tr>
      <w:tr w:rsidR="00AA0377" w:rsidRPr="00AA0377" w:rsidTr="00C8135A">
        <w:tc>
          <w:tcPr>
            <w:tcW w:w="3118" w:type="dxa"/>
            <w:tcBorders>
              <w:top w:val="single" w:sz="6" w:space="0" w:color="auto"/>
              <w:bottom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RUB</w:t>
            </w:r>
          </w:p>
        </w:tc>
        <w:tc>
          <w:tcPr>
            <w:tcW w:w="3119" w:type="dxa"/>
            <w:tcBorders>
              <w:top w:val="single" w:sz="6" w:space="0" w:color="auto"/>
              <w:bottom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1</w:t>
            </w:r>
          </w:p>
        </w:tc>
        <w:tc>
          <w:tcPr>
            <w:tcW w:w="3119" w:type="dxa"/>
            <w:tcBorders>
              <w:top w:val="single" w:sz="6" w:space="0" w:color="auto"/>
              <w:bottom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173.220</w:t>
            </w:r>
          </w:p>
        </w:tc>
      </w:tr>
      <w:tr w:rsidR="00AA0377" w:rsidRPr="00AA0377" w:rsidTr="00C8135A">
        <w:tc>
          <w:tcPr>
            <w:tcW w:w="3118" w:type="dxa"/>
            <w:tcBorders>
              <w:top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TOTAL</w:t>
            </w:r>
          </w:p>
        </w:tc>
        <w:tc>
          <w:tcPr>
            <w:tcW w:w="3119" w:type="dxa"/>
            <w:tcBorders>
              <w:top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p>
        </w:tc>
        <w:tc>
          <w:tcPr>
            <w:tcW w:w="3119" w:type="dxa"/>
            <w:tcBorders>
              <w:top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p>
        </w:tc>
      </w:tr>
      <w:tr w:rsidR="00AA0377" w:rsidRPr="00AA0377" w:rsidTr="00C8135A">
        <w:tc>
          <w:tcPr>
            <w:tcW w:w="3118"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USD</w:t>
            </w:r>
          </w:p>
        </w:tc>
        <w:tc>
          <w:tcPr>
            <w:tcW w:w="3119"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264</w:t>
            </w:r>
          </w:p>
        </w:tc>
        <w:tc>
          <w:tcPr>
            <w:tcW w:w="3119"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1620.311</w:t>
            </w:r>
          </w:p>
        </w:tc>
      </w:tr>
      <w:tr w:rsidR="00AA0377" w:rsidRPr="00AA0377" w:rsidTr="00C8135A">
        <w:tc>
          <w:tcPr>
            <w:tcW w:w="3118"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EUR</w:t>
            </w:r>
          </w:p>
        </w:tc>
        <w:tc>
          <w:tcPr>
            <w:tcW w:w="3119"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77</w:t>
            </w:r>
          </w:p>
        </w:tc>
        <w:tc>
          <w:tcPr>
            <w:tcW w:w="3119"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176.424</w:t>
            </w:r>
          </w:p>
        </w:tc>
      </w:tr>
      <w:tr w:rsidR="00AA0377" w:rsidRPr="00AA0377" w:rsidTr="00C8135A">
        <w:tc>
          <w:tcPr>
            <w:tcW w:w="3118"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CNY</w:t>
            </w:r>
          </w:p>
        </w:tc>
        <w:tc>
          <w:tcPr>
            <w:tcW w:w="3119"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3</w:t>
            </w:r>
          </w:p>
        </w:tc>
        <w:tc>
          <w:tcPr>
            <w:tcW w:w="3119"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2.044</w:t>
            </w:r>
          </w:p>
        </w:tc>
      </w:tr>
      <w:tr w:rsidR="00AA0377" w:rsidRPr="00AA0377" w:rsidTr="00C8135A">
        <w:tc>
          <w:tcPr>
            <w:tcW w:w="3118"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RUB</w:t>
            </w:r>
          </w:p>
        </w:tc>
        <w:tc>
          <w:tcPr>
            <w:tcW w:w="3119"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168</w:t>
            </w:r>
          </w:p>
        </w:tc>
        <w:tc>
          <w:tcPr>
            <w:tcW w:w="3119"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1746.377</w:t>
            </w:r>
          </w:p>
        </w:tc>
      </w:tr>
    </w:tbl>
    <w:p w:rsidR="00AA0377" w:rsidRPr="00AA0377" w:rsidRDefault="00AA0377" w:rsidP="00AA0377">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p>
    <w:p w:rsidR="00AA0377" w:rsidRPr="00AA0377" w:rsidRDefault="00AA0377" w:rsidP="00AA0377">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Obtaining a status of a qualif</w:t>
      </w:r>
      <w:r w:rsidR="00E35337">
        <w:rPr>
          <w:rFonts w:ascii="Times New Roman" w:eastAsia="Times New Roman" w:hAnsi="Times New Roman" w:cs="Times New Roman"/>
          <w:sz w:val="24"/>
          <w:szCs w:val="24"/>
          <w:lang w:val="en-US" w:eastAsia="ru-RU"/>
        </w:rPr>
        <w:t>ying</w:t>
      </w:r>
      <w:r w:rsidRPr="00AA0377">
        <w:rPr>
          <w:rFonts w:ascii="Times New Roman" w:eastAsia="Times New Roman" w:hAnsi="Times New Roman" w:cs="Times New Roman"/>
          <w:sz w:val="24"/>
          <w:szCs w:val="24"/>
          <w:lang w:val="en-US" w:eastAsia="ru-RU"/>
        </w:rPr>
        <w:t xml:space="preserve"> CCP stipulated the necessity to change the assets structure, in particular, to change the characteristics of securities portfolio in accordance with the requirements of the Bank of Russia on issuer’s quality and payback period of (offer) securities. Herewith, the clearing on new markets and the increase of </w:t>
      </w:r>
      <w:r w:rsidRPr="00AA0377">
        <w:rPr>
          <w:rFonts w:ascii="Times New Roman" w:hAnsi="Times New Roman" w:cs="Times New Roman"/>
          <w:sz w:val="24"/>
          <w:szCs w:val="24"/>
          <w:lang w:val="en-US"/>
        </w:rPr>
        <w:t>authorized capital</w:t>
      </w:r>
      <w:r w:rsidRPr="00AA0377">
        <w:rPr>
          <w:rFonts w:ascii="Times New Roman" w:eastAsia="Times New Roman" w:hAnsi="Times New Roman" w:cs="Times New Roman"/>
          <w:sz w:val="24"/>
          <w:szCs w:val="24"/>
          <w:lang w:val="en-US" w:eastAsia="ru-RU"/>
        </w:rPr>
        <w:t xml:space="preserve"> resulted in the growth of passive base, which lead to alterations in </w:t>
      </w:r>
      <w:r w:rsidR="000B2640">
        <w:rPr>
          <w:rFonts w:ascii="Times New Roman" w:eastAsia="Times New Roman" w:hAnsi="Times New Roman" w:cs="Times New Roman"/>
          <w:sz w:val="24"/>
          <w:szCs w:val="24"/>
          <w:lang w:val="en-US" w:eastAsia="ru-RU"/>
        </w:rPr>
        <w:t xml:space="preserve">the </w:t>
      </w:r>
      <w:r w:rsidRPr="00AA0377">
        <w:rPr>
          <w:rFonts w:ascii="Times New Roman" w:eastAsia="Times New Roman" w:hAnsi="Times New Roman" w:cs="Times New Roman"/>
          <w:sz w:val="24"/>
          <w:szCs w:val="24"/>
          <w:lang w:val="en-US" w:eastAsia="ru-RU"/>
        </w:rPr>
        <w:t>assets profile, as well as the securities portfolio increase.</w:t>
      </w:r>
    </w:p>
    <w:p w:rsidR="00AA0377" w:rsidRPr="00AA0377" w:rsidRDefault="00AA0377" w:rsidP="00AA0377">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Resulted from the above-mentioned factors, the passive base of NCC has gone through the changes as follows:</w:t>
      </w:r>
    </w:p>
    <w:p w:rsidR="00AA0377" w:rsidRPr="00AA0377" w:rsidRDefault="00AA0377" w:rsidP="00AA0377">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p>
    <w:p w:rsidR="00AA0377" w:rsidRPr="00AA0377" w:rsidRDefault="00AA0377" w:rsidP="00AA0377">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01.01.2013</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85"/>
        <w:gridCol w:w="1621"/>
        <w:gridCol w:w="1622"/>
        <w:gridCol w:w="1621"/>
        <w:gridCol w:w="1622"/>
      </w:tblGrid>
      <w:tr w:rsidR="00AA0377" w:rsidRPr="00AA0377" w:rsidTr="00C8135A">
        <w:tc>
          <w:tcPr>
            <w:tcW w:w="3085" w:type="dxa"/>
            <w:tcBorders>
              <w:top w:val="single" w:sz="12" w:space="0" w:color="auto"/>
              <w:bottom w:val="single" w:sz="12" w:space="0" w:color="auto"/>
              <w:right w:val="single" w:sz="12" w:space="0" w:color="auto"/>
            </w:tcBorders>
            <w:shd w:val="clear" w:color="auto" w:fill="auto"/>
          </w:tcPr>
          <w:p w:rsidR="00AA0377" w:rsidRPr="00AA0377" w:rsidRDefault="00AA0377" w:rsidP="00AA0377">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Source</w:t>
            </w:r>
          </w:p>
        </w:tc>
        <w:tc>
          <w:tcPr>
            <w:tcW w:w="1621" w:type="dxa"/>
            <w:tcBorders>
              <w:top w:val="single" w:sz="12" w:space="0" w:color="auto"/>
              <w:left w:val="single" w:sz="12" w:space="0" w:color="auto"/>
              <w:bottom w:val="single" w:sz="12" w:space="0" w:color="auto"/>
            </w:tcBorders>
            <w:shd w:val="clear" w:color="auto" w:fill="auto"/>
          </w:tcPr>
          <w:p w:rsidR="00AA0377" w:rsidRPr="00AA0377" w:rsidRDefault="00AA0377" w:rsidP="00AA0377">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RUB, million</w:t>
            </w:r>
          </w:p>
        </w:tc>
        <w:tc>
          <w:tcPr>
            <w:tcW w:w="1622" w:type="dxa"/>
            <w:tcBorders>
              <w:top w:val="single" w:sz="12" w:space="0" w:color="auto"/>
              <w:bottom w:val="single" w:sz="12" w:space="0" w:color="auto"/>
            </w:tcBorders>
            <w:shd w:val="clear" w:color="auto" w:fill="auto"/>
          </w:tcPr>
          <w:p w:rsidR="00AA0377" w:rsidRPr="00AA0377" w:rsidRDefault="00AA0377" w:rsidP="00AA0377">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USD, million</w:t>
            </w:r>
          </w:p>
        </w:tc>
        <w:tc>
          <w:tcPr>
            <w:tcW w:w="1621" w:type="dxa"/>
            <w:tcBorders>
              <w:top w:val="single" w:sz="12" w:space="0" w:color="auto"/>
              <w:bottom w:val="single" w:sz="12" w:space="0" w:color="auto"/>
            </w:tcBorders>
            <w:shd w:val="clear" w:color="auto" w:fill="auto"/>
          </w:tcPr>
          <w:p w:rsidR="00AA0377" w:rsidRPr="00AA0377" w:rsidRDefault="00AA0377" w:rsidP="00AA0377">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EUR, million</w:t>
            </w:r>
          </w:p>
        </w:tc>
        <w:tc>
          <w:tcPr>
            <w:tcW w:w="1622" w:type="dxa"/>
            <w:tcBorders>
              <w:top w:val="single" w:sz="12" w:space="0" w:color="auto"/>
              <w:bottom w:val="single" w:sz="12" w:space="0" w:color="auto"/>
            </w:tcBorders>
            <w:shd w:val="clear" w:color="auto" w:fill="auto"/>
          </w:tcPr>
          <w:p w:rsidR="00AA0377" w:rsidRPr="00AA0377" w:rsidRDefault="00AA0377" w:rsidP="00AA0377">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Equivalent, RUB</w:t>
            </w:r>
          </w:p>
        </w:tc>
      </w:tr>
      <w:tr w:rsidR="00AA0377" w:rsidRPr="00AA0377" w:rsidTr="00C8135A">
        <w:tc>
          <w:tcPr>
            <w:tcW w:w="3085" w:type="dxa"/>
            <w:tcBorders>
              <w:top w:val="single" w:sz="12" w:space="0" w:color="auto"/>
              <w:right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A0377">
              <w:rPr>
                <w:rFonts w:ascii="Times New Roman" w:hAnsi="Times New Roman" w:cs="Times New Roman"/>
                <w:sz w:val="24"/>
                <w:szCs w:val="24"/>
                <w:lang w:val="en-US"/>
              </w:rPr>
              <w:t>Foreign Exchange Market</w:t>
            </w:r>
          </w:p>
        </w:tc>
        <w:tc>
          <w:tcPr>
            <w:tcW w:w="1621" w:type="dxa"/>
            <w:tcBorders>
              <w:top w:val="single" w:sz="12" w:space="0" w:color="auto"/>
              <w:left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26,495.706</w:t>
            </w:r>
          </w:p>
        </w:tc>
        <w:tc>
          <w:tcPr>
            <w:tcW w:w="1622" w:type="dxa"/>
            <w:tcBorders>
              <w:top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1,910.668</w:t>
            </w:r>
          </w:p>
        </w:tc>
        <w:tc>
          <w:tcPr>
            <w:tcW w:w="1621" w:type="dxa"/>
            <w:tcBorders>
              <w:top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1,410.900</w:t>
            </w:r>
          </w:p>
        </w:tc>
        <w:tc>
          <w:tcPr>
            <w:tcW w:w="1622" w:type="dxa"/>
            <w:tcBorders>
              <w:top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141,286.361</w:t>
            </w:r>
          </w:p>
        </w:tc>
      </w:tr>
      <w:tr w:rsidR="00AA0377" w:rsidRPr="00AA0377" w:rsidTr="00C8135A">
        <w:tc>
          <w:tcPr>
            <w:tcW w:w="3085" w:type="dxa"/>
            <w:tcBorders>
              <w:right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A0377">
              <w:rPr>
                <w:rFonts w:ascii="Times New Roman" w:hAnsi="Times New Roman" w:cs="Times New Roman"/>
                <w:sz w:val="24"/>
                <w:szCs w:val="24"/>
                <w:lang w:val="en-US"/>
              </w:rPr>
              <w:t>Derivatives Market</w:t>
            </w:r>
          </w:p>
        </w:tc>
        <w:tc>
          <w:tcPr>
            <w:tcW w:w="1621" w:type="dxa"/>
            <w:tcBorders>
              <w:left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33,977.533</w:t>
            </w:r>
          </w:p>
        </w:tc>
        <w:tc>
          <w:tcPr>
            <w:tcW w:w="1622"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139.084</w:t>
            </w:r>
          </w:p>
        </w:tc>
        <w:tc>
          <w:tcPr>
            <w:tcW w:w="1621"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US" w:eastAsia="ru-RU"/>
              </w:rPr>
            </w:pPr>
          </w:p>
        </w:tc>
        <w:tc>
          <w:tcPr>
            <w:tcW w:w="1622"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38,201.884</w:t>
            </w:r>
          </w:p>
        </w:tc>
      </w:tr>
      <w:tr w:rsidR="00AA0377" w:rsidRPr="00AA0377" w:rsidTr="00C8135A">
        <w:tc>
          <w:tcPr>
            <w:tcW w:w="3085" w:type="dxa"/>
            <w:tcBorders>
              <w:right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T+, REPO with CCP</w:t>
            </w:r>
          </w:p>
        </w:tc>
        <w:tc>
          <w:tcPr>
            <w:tcW w:w="1621" w:type="dxa"/>
            <w:tcBorders>
              <w:left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US" w:eastAsia="ru-RU"/>
              </w:rPr>
            </w:pPr>
          </w:p>
        </w:tc>
        <w:tc>
          <w:tcPr>
            <w:tcW w:w="1622"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US" w:eastAsia="ru-RU"/>
              </w:rPr>
            </w:pPr>
          </w:p>
        </w:tc>
        <w:tc>
          <w:tcPr>
            <w:tcW w:w="1621"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US" w:eastAsia="ru-RU"/>
              </w:rPr>
            </w:pPr>
          </w:p>
        </w:tc>
        <w:tc>
          <w:tcPr>
            <w:tcW w:w="1622"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US" w:eastAsia="ru-RU"/>
              </w:rPr>
            </w:pPr>
          </w:p>
        </w:tc>
      </w:tr>
      <w:tr w:rsidR="00AA0377" w:rsidRPr="00AA0377" w:rsidTr="00C8135A">
        <w:tc>
          <w:tcPr>
            <w:tcW w:w="3085" w:type="dxa"/>
            <w:tcBorders>
              <w:bottom w:val="single" w:sz="12" w:space="0" w:color="auto"/>
              <w:right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Equity capital</w:t>
            </w:r>
          </w:p>
        </w:tc>
        <w:tc>
          <w:tcPr>
            <w:tcW w:w="1621" w:type="dxa"/>
            <w:tcBorders>
              <w:left w:val="single" w:sz="12" w:space="0" w:color="auto"/>
              <w:bottom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13,167.983</w:t>
            </w:r>
          </w:p>
        </w:tc>
        <w:tc>
          <w:tcPr>
            <w:tcW w:w="1622" w:type="dxa"/>
            <w:tcBorders>
              <w:bottom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US" w:eastAsia="ru-RU"/>
              </w:rPr>
            </w:pPr>
          </w:p>
        </w:tc>
        <w:tc>
          <w:tcPr>
            <w:tcW w:w="1621" w:type="dxa"/>
            <w:tcBorders>
              <w:bottom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US" w:eastAsia="ru-RU"/>
              </w:rPr>
            </w:pPr>
          </w:p>
        </w:tc>
        <w:tc>
          <w:tcPr>
            <w:tcW w:w="1622" w:type="dxa"/>
            <w:tcBorders>
              <w:bottom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13,167.983</w:t>
            </w:r>
          </w:p>
        </w:tc>
      </w:tr>
      <w:tr w:rsidR="00AA0377" w:rsidRPr="00AA0377" w:rsidTr="00C8135A">
        <w:tc>
          <w:tcPr>
            <w:tcW w:w="3085" w:type="dxa"/>
            <w:tcBorders>
              <w:top w:val="single" w:sz="12" w:space="0" w:color="auto"/>
              <w:bottom w:val="single" w:sz="12" w:space="0" w:color="auto"/>
              <w:right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Total</w:t>
            </w:r>
          </w:p>
        </w:tc>
        <w:tc>
          <w:tcPr>
            <w:tcW w:w="1621" w:type="dxa"/>
            <w:tcBorders>
              <w:top w:val="single" w:sz="12" w:space="0" w:color="auto"/>
              <w:left w:val="single" w:sz="12" w:space="0" w:color="auto"/>
              <w:bottom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73,641.222</w:t>
            </w:r>
          </w:p>
        </w:tc>
        <w:tc>
          <w:tcPr>
            <w:tcW w:w="1622" w:type="dxa"/>
            <w:tcBorders>
              <w:top w:val="single" w:sz="12" w:space="0" w:color="auto"/>
              <w:bottom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2,049.752</w:t>
            </w:r>
          </w:p>
        </w:tc>
        <w:tc>
          <w:tcPr>
            <w:tcW w:w="1621" w:type="dxa"/>
            <w:tcBorders>
              <w:top w:val="single" w:sz="12" w:space="0" w:color="auto"/>
              <w:bottom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1,410.900</w:t>
            </w:r>
          </w:p>
        </w:tc>
        <w:tc>
          <w:tcPr>
            <w:tcW w:w="1622" w:type="dxa"/>
            <w:tcBorders>
              <w:top w:val="single" w:sz="12" w:space="0" w:color="auto"/>
              <w:bottom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192,656.228</w:t>
            </w:r>
          </w:p>
        </w:tc>
      </w:tr>
    </w:tbl>
    <w:p w:rsidR="00AA0377" w:rsidRPr="00AA0377" w:rsidRDefault="00AA0377" w:rsidP="00AA0377">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p>
    <w:p w:rsidR="00AA0377" w:rsidRPr="00AA0377" w:rsidRDefault="00AA0377" w:rsidP="00AA0377">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01.01.2014</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85"/>
        <w:gridCol w:w="1621"/>
        <w:gridCol w:w="1622"/>
        <w:gridCol w:w="1621"/>
        <w:gridCol w:w="1622"/>
      </w:tblGrid>
      <w:tr w:rsidR="00AA0377" w:rsidRPr="00AA0377" w:rsidTr="00C8135A">
        <w:tc>
          <w:tcPr>
            <w:tcW w:w="3085" w:type="dxa"/>
            <w:tcBorders>
              <w:top w:val="single" w:sz="12" w:space="0" w:color="auto"/>
              <w:bottom w:val="single" w:sz="12" w:space="0" w:color="auto"/>
              <w:right w:val="single" w:sz="12" w:space="0" w:color="auto"/>
            </w:tcBorders>
            <w:shd w:val="clear" w:color="auto" w:fill="auto"/>
          </w:tcPr>
          <w:p w:rsidR="00AA0377" w:rsidRPr="00AA0377" w:rsidRDefault="00AA0377" w:rsidP="00AA0377">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Source</w:t>
            </w:r>
          </w:p>
        </w:tc>
        <w:tc>
          <w:tcPr>
            <w:tcW w:w="1621" w:type="dxa"/>
            <w:tcBorders>
              <w:top w:val="single" w:sz="12" w:space="0" w:color="auto"/>
              <w:left w:val="single" w:sz="12" w:space="0" w:color="auto"/>
              <w:bottom w:val="single" w:sz="12" w:space="0" w:color="auto"/>
            </w:tcBorders>
            <w:shd w:val="clear" w:color="auto" w:fill="auto"/>
          </w:tcPr>
          <w:p w:rsidR="00AA0377" w:rsidRPr="00AA0377" w:rsidRDefault="00AA0377" w:rsidP="00AA0377">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RUB, million</w:t>
            </w:r>
          </w:p>
        </w:tc>
        <w:tc>
          <w:tcPr>
            <w:tcW w:w="1622" w:type="dxa"/>
            <w:tcBorders>
              <w:top w:val="single" w:sz="12" w:space="0" w:color="auto"/>
              <w:bottom w:val="single" w:sz="12" w:space="0" w:color="auto"/>
            </w:tcBorders>
            <w:shd w:val="clear" w:color="auto" w:fill="auto"/>
          </w:tcPr>
          <w:p w:rsidR="00AA0377" w:rsidRPr="00AA0377" w:rsidRDefault="00AA0377" w:rsidP="00AA0377">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USD, million</w:t>
            </w:r>
          </w:p>
        </w:tc>
        <w:tc>
          <w:tcPr>
            <w:tcW w:w="1621" w:type="dxa"/>
            <w:tcBorders>
              <w:top w:val="single" w:sz="12" w:space="0" w:color="auto"/>
              <w:bottom w:val="single" w:sz="12" w:space="0" w:color="auto"/>
            </w:tcBorders>
            <w:shd w:val="clear" w:color="auto" w:fill="auto"/>
          </w:tcPr>
          <w:p w:rsidR="00AA0377" w:rsidRPr="00AA0377" w:rsidRDefault="00AA0377" w:rsidP="00AA0377">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EUR, million</w:t>
            </w:r>
          </w:p>
        </w:tc>
        <w:tc>
          <w:tcPr>
            <w:tcW w:w="1622" w:type="dxa"/>
            <w:tcBorders>
              <w:top w:val="single" w:sz="12" w:space="0" w:color="auto"/>
              <w:bottom w:val="single" w:sz="12" w:space="0" w:color="auto"/>
            </w:tcBorders>
            <w:shd w:val="clear" w:color="auto" w:fill="auto"/>
          </w:tcPr>
          <w:p w:rsidR="00AA0377" w:rsidRPr="00AA0377" w:rsidRDefault="00AA0377" w:rsidP="00AA0377">
            <w:pPr>
              <w:widowControl w:val="0"/>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Equivalent, RUB</w:t>
            </w:r>
          </w:p>
        </w:tc>
      </w:tr>
      <w:tr w:rsidR="00AA0377" w:rsidRPr="00AA0377" w:rsidTr="00C8135A">
        <w:tc>
          <w:tcPr>
            <w:tcW w:w="3085" w:type="dxa"/>
            <w:tcBorders>
              <w:top w:val="single" w:sz="12" w:space="0" w:color="auto"/>
              <w:right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A0377">
              <w:rPr>
                <w:rFonts w:ascii="Times New Roman" w:hAnsi="Times New Roman" w:cs="Times New Roman"/>
                <w:sz w:val="24"/>
                <w:szCs w:val="24"/>
                <w:lang w:val="en-US"/>
              </w:rPr>
              <w:t>Foreign Exchange Market</w:t>
            </w:r>
          </w:p>
        </w:tc>
        <w:tc>
          <w:tcPr>
            <w:tcW w:w="1621" w:type="dxa"/>
            <w:tcBorders>
              <w:top w:val="single" w:sz="12" w:space="0" w:color="auto"/>
              <w:left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27,268.564</w:t>
            </w:r>
          </w:p>
        </w:tc>
        <w:tc>
          <w:tcPr>
            <w:tcW w:w="1622" w:type="dxa"/>
            <w:tcBorders>
              <w:top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3,563.778</w:t>
            </w:r>
          </w:p>
        </w:tc>
        <w:tc>
          <w:tcPr>
            <w:tcW w:w="1621" w:type="dxa"/>
            <w:tcBorders>
              <w:top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1,576.714</w:t>
            </w:r>
          </w:p>
        </w:tc>
        <w:tc>
          <w:tcPr>
            <w:tcW w:w="1622" w:type="dxa"/>
            <w:tcBorders>
              <w:top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214,812.848</w:t>
            </w:r>
          </w:p>
        </w:tc>
      </w:tr>
      <w:tr w:rsidR="00AA0377" w:rsidRPr="00AA0377" w:rsidTr="00C8135A">
        <w:tc>
          <w:tcPr>
            <w:tcW w:w="3085" w:type="dxa"/>
            <w:tcBorders>
              <w:right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A0377">
              <w:rPr>
                <w:rFonts w:ascii="Times New Roman" w:hAnsi="Times New Roman" w:cs="Times New Roman"/>
                <w:sz w:val="24"/>
                <w:szCs w:val="24"/>
                <w:lang w:val="en-US"/>
              </w:rPr>
              <w:t>Derivatives Market</w:t>
            </w:r>
          </w:p>
        </w:tc>
        <w:tc>
          <w:tcPr>
            <w:tcW w:w="1621" w:type="dxa"/>
            <w:tcBorders>
              <w:left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23,648.312</w:t>
            </w:r>
          </w:p>
        </w:tc>
        <w:tc>
          <w:tcPr>
            <w:tcW w:w="1622"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365.621</w:t>
            </w:r>
          </w:p>
        </w:tc>
        <w:tc>
          <w:tcPr>
            <w:tcW w:w="1621"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US" w:eastAsia="ru-RU"/>
              </w:rPr>
            </w:pPr>
          </w:p>
        </w:tc>
        <w:tc>
          <w:tcPr>
            <w:tcW w:w="1622"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35,614.781</w:t>
            </w:r>
          </w:p>
        </w:tc>
      </w:tr>
      <w:tr w:rsidR="00AA0377" w:rsidRPr="00AA0377" w:rsidTr="00C8135A">
        <w:tc>
          <w:tcPr>
            <w:tcW w:w="3085" w:type="dxa"/>
            <w:tcBorders>
              <w:right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T+, REPO with CCP</w:t>
            </w:r>
          </w:p>
        </w:tc>
        <w:tc>
          <w:tcPr>
            <w:tcW w:w="1621" w:type="dxa"/>
            <w:tcBorders>
              <w:left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23,644.813</w:t>
            </w:r>
          </w:p>
        </w:tc>
        <w:tc>
          <w:tcPr>
            <w:tcW w:w="1622"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82.196</w:t>
            </w:r>
          </w:p>
        </w:tc>
        <w:tc>
          <w:tcPr>
            <w:tcW w:w="1621"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US" w:eastAsia="ru-RU"/>
              </w:rPr>
            </w:pPr>
          </w:p>
        </w:tc>
        <w:tc>
          <w:tcPr>
            <w:tcW w:w="1622" w:type="dxa"/>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26,335.013</w:t>
            </w:r>
          </w:p>
        </w:tc>
      </w:tr>
      <w:tr w:rsidR="00AA0377" w:rsidRPr="00AA0377" w:rsidTr="00C8135A">
        <w:tc>
          <w:tcPr>
            <w:tcW w:w="3085" w:type="dxa"/>
            <w:tcBorders>
              <w:bottom w:val="single" w:sz="12" w:space="0" w:color="auto"/>
              <w:right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Equity capital</w:t>
            </w:r>
          </w:p>
        </w:tc>
        <w:tc>
          <w:tcPr>
            <w:tcW w:w="1621" w:type="dxa"/>
            <w:tcBorders>
              <w:left w:val="single" w:sz="12" w:space="0" w:color="auto"/>
              <w:bottom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28,755.467</w:t>
            </w:r>
          </w:p>
        </w:tc>
        <w:tc>
          <w:tcPr>
            <w:tcW w:w="1622" w:type="dxa"/>
            <w:tcBorders>
              <w:bottom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US" w:eastAsia="ru-RU"/>
              </w:rPr>
            </w:pPr>
          </w:p>
        </w:tc>
        <w:tc>
          <w:tcPr>
            <w:tcW w:w="1621" w:type="dxa"/>
            <w:tcBorders>
              <w:bottom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US" w:eastAsia="ru-RU"/>
              </w:rPr>
            </w:pPr>
          </w:p>
        </w:tc>
        <w:tc>
          <w:tcPr>
            <w:tcW w:w="1622" w:type="dxa"/>
            <w:tcBorders>
              <w:bottom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28,755.467</w:t>
            </w:r>
          </w:p>
        </w:tc>
      </w:tr>
      <w:tr w:rsidR="00AA0377" w:rsidRPr="00AA0377" w:rsidTr="00C8135A">
        <w:tc>
          <w:tcPr>
            <w:tcW w:w="3085" w:type="dxa"/>
            <w:tcBorders>
              <w:top w:val="single" w:sz="12" w:space="0" w:color="auto"/>
              <w:bottom w:val="single" w:sz="12" w:space="0" w:color="auto"/>
              <w:right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Total</w:t>
            </w:r>
          </w:p>
        </w:tc>
        <w:tc>
          <w:tcPr>
            <w:tcW w:w="1621" w:type="dxa"/>
            <w:tcBorders>
              <w:top w:val="single" w:sz="12" w:space="0" w:color="auto"/>
              <w:left w:val="single" w:sz="12" w:space="0" w:color="auto"/>
              <w:bottom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103,317.156</w:t>
            </w:r>
          </w:p>
        </w:tc>
        <w:tc>
          <w:tcPr>
            <w:tcW w:w="1622" w:type="dxa"/>
            <w:tcBorders>
              <w:top w:val="single" w:sz="12" w:space="0" w:color="auto"/>
              <w:bottom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4,011.595</w:t>
            </w:r>
          </w:p>
        </w:tc>
        <w:tc>
          <w:tcPr>
            <w:tcW w:w="1621" w:type="dxa"/>
            <w:tcBorders>
              <w:top w:val="single" w:sz="12" w:space="0" w:color="auto"/>
              <w:bottom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1,576.714</w:t>
            </w:r>
          </w:p>
        </w:tc>
        <w:tc>
          <w:tcPr>
            <w:tcW w:w="1622" w:type="dxa"/>
            <w:tcBorders>
              <w:top w:val="single" w:sz="12" w:space="0" w:color="auto"/>
              <w:bottom w:val="single" w:sz="12" w:space="0" w:color="auto"/>
            </w:tcBorders>
            <w:shd w:val="clear" w:color="auto" w:fill="auto"/>
          </w:tcPr>
          <w:p w:rsidR="00AA0377" w:rsidRPr="00AA0377" w:rsidRDefault="00AA0377" w:rsidP="00AA037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305,518.109</w:t>
            </w:r>
          </w:p>
        </w:tc>
      </w:tr>
    </w:tbl>
    <w:p w:rsidR="00AA0377" w:rsidRPr="00AA0377" w:rsidRDefault="00AA0377" w:rsidP="00AA0377">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p>
    <w:p w:rsidR="00AA0377" w:rsidRPr="00AA0377" w:rsidRDefault="00E35337" w:rsidP="00AA0377">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With</w:t>
      </w:r>
      <w:r w:rsidR="00AA0377" w:rsidRPr="00AA0377">
        <w:rPr>
          <w:rFonts w:ascii="Times New Roman" w:eastAsia="Times New Roman" w:hAnsi="Times New Roman" w:cs="Times New Roman"/>
          <w:sz w:val="24"/>
          <w:szCs w:val="24"/>
          <w:lang w:val="en-US" w:eastAsia="ru-RU"/>
        </w:rPr>
        <w:t xml:space="preserve"> the growth of passive</w:t>
      </w:r>
      <w:r>
        <w:rPr>
          <w:rFonts w:ascii="Times New Roman" w:eastAsia="Times New Roman" w:hAnsi="Times New Roman" w:cs="Times New Roman"/>
          <w:sz w:val="24"/>
          <w:szCs w:val="24"/>
          <w:lang w:val="en-US" w:eastAsia="ru-RU"/>
        </w:rPr>
        <w:t>s</w:t>
      </w:r>
      <w:r w:rsidR="00AA0377" w:rsidRPr="00AA0377">
        <w:rPr>
          <w:rFonts w:ascii="Times New Roman" w:eastAsia="Times New Roman" w:hAnsi="Times New Roman" w:cs="Times New Roman"/>
          <w:sz w:val="24"/>
          <w:szCs w:val="24"/>
          <w:lang w:val="en-US" w:eastAsia="ru-RU"/>
        </w:rPr>
        <w:t xml:space="preserve">, the main efforts were directed </w:t>
      </w:r>
      <w:r>
        <w:rPr>
          <w:rFonts w:ascii="Times New Roman" w:eastAsia="Times New Roman" w:hAnsi="Times New Roman" w:cs="Times New Roman"/>
          <w:sz w:val="24"/>
          <w:szCs w:val="24"/>
          <w:lang w:val="en-US" w:eastAsia="ru-RU"/>
        </w:rPr>
        <w:t>to</w:t>
      </w:r>
      <w:r w:rsidR="00AA0377" w:rsidRPr="00AA0377">
        <w:rPr>
          <w:rFonts w:ascii="Times New Roman" w:hAnsi="Times New Roman" w:cs="Times New Roman"/>
          <w:sz w:val="24"/>
          <w:szCs w:val="24"/>
          <w:lang w:val="en-US"/>
        </w:rPr>
        <w:t xml:space="preserve"> increasing the earning assets, primarily the securities portfolio</w:t>
      </w:r>
      <w:r w:rsidR="00AA0377" w:rsidRPr="00AA0377">
        <w:rPr>
          <w:rFonts w:ascii="Times New Roman" w:eastAsia="Times New Roman" w:hAnsi="Times New Roman" w:cs="Times New Roman"/>
          <w:sz w:val="24"/>
          <w:szCs w:val="24"/>
          <w:lang w:val="en-US" w:eastAsia="ru-RU"/>
        </w:rPr>
        <w:t xml:space="preserve">. During the stated year </w:t>
      </w:r>
      <w:proofErr w:type="spellStart"/>
      <w:r w:rsidR="00AA0377" w:rsidRPr="00AA0377">
        <w:rPr>
          <w:rFonts w:ascii="Times New Roman" w:eastAsia="Times New Roman" w:hAnsi="Times New Roman" w:cs="Times New Roman"/>
          <w:sz w:val="24"/>
          <w:szCs w:val="24"/>
          <w:lang w:val="en-US" w:eastAsia="ru-RU"/>
        </w:rPr>
        <w:t>Rouble</w:t>
      </w:r>
      <w:proofErr w:type="spellEnd"/>
      <w:r w:rsidR="00AA0377" w:rsidRPr="00AA0377">
        <w:rPr>
          <w:rFonts w:ascii="Times New Roman" w:eastAsia="Times New Roman" w:hAnsi="Times New Roman" w:cs="Times New Roman"/>
          <w:sz w:val="24"/>
          <w:szCs w:val="24"/>
          <w:lang w:val="en-US" w:eastAsia="ru-RU"/>
        </w:rPr>
        <w:t xml:space="preserve"> Portfolio of NCC rose at 22,222 million </w:t>
      </w:r>
      <w:proofErr w:type="spellStart"/>
      <w:r w:rsidR="00AA0377" w:rsidRPr="00AA0377">
        <w:rPr>
          <w:rFonts w:ascii="Times New Roman" w:eastAsia="Times New Roman" w:hAnsi="Times New Roman" w:cs="Times New Roman"/>
          <w:sz w:val="24"/>
          <w:szCs w:val="24"/>
          <w:lang w:val="en-US" w:eastAsia="ru-RU"/>
        </w:rPr>
        <w:t>roubles</w:t>
      </w:r>
      <w:proofErr w:type="spellEnd"/>
      <w:r w:rsidR="00AA0377" w:rsidRPr="00AA0377">
        <w:rPr>
          <w:rFonts w:ascii="Times New Roman" w:eastAsia="Times New Roman" w:hAnsi="Times New Roman" w:cs="Times New Roman"/>
          <w:sz w:val="24"/>
          <w:szCs w:val="24"/>
          <w:lang w:val="en-US" w:eastAsia="ru-RU"/>
        </w:rPr>
        <w:t xml:space="preserve"> in </w:t>
      </w:r>
      <w:r w:rsidR="000B2640">
        <w:rPr>
          <w:rFonts w:ascii="Times New Roman" w:eastAsia="Times New Roman" w:hAnsi="Times New Roman" w:cs="Times New Roman"/>
          <w:sz w:val="24"/>
          <w:szCs w:val="24"/>
          <w:lang w:val="en-US" w:eastAsia="ru-RU"/>
        </w:rPr>
        <w:t xml:space="preserve">the </w:t>
      </w:r>
      <w:r w:rsidR="00AA0377" w:rsidRPr="00AA0377">
        <w:rPr>
          <w:rFonts w:ascii="Times New Roman" w:eastAsia="Times New Roman" w:hAnsi="Times New Roman" w:cs="Times New Roman"/>
          <w:sz w:val="24"/>
          <w:szCs w:val="24"/>
          <w:lang w:val="en-US" w:eastAsia="ru-RU"/>
        </w:rPr>
        <w:t xml:space="preserve">market value (at 64%) and </w:t>
      </w:r>
      <w:r w:rsidR="00AA0377" w:rsidRPr="00AA0377">
        <w:rPr>
          <w:rFonts w:ascii="Times New Roman" w:hAnsi="Times New Roman" w:cs="Times New Roman"/>
          <w:sz w:val="24"/>
          <w:szCs w:val="24"/>
          <w:lang w:val="en-US"/>
        </w:rPr>
        <w:t>amounted to</w:t>
      </w:r>
      <w:r w:rsidR="00AA0377" w:rsidRPr="00AA0377">
        <w:rPr>
          <w:rFonts w:ascii="Times New Roman" w:eastAsia="Times New Roman" w:hAnsi="Times New Roman" w:cs="Times New Roman"/>
          <w:sz w:val="24"/>
          <w:szCs w:val="24"/>
          <w:lang w:val="en-US" w:eastAsia="ru-RU"/>
        </w:rPr>
        <w:t xml:space="preserve"> 56,883 million </w:t>
      </w:r>
      <w:proofErr w:type="spellStart"/>
      <w:r w:rsidR="00AA0377" w:rsidRPr="00AA0377">
        <w:rPr>
          <w:rFonts w:ascii="Times New Roman" w:eastAsia="Times New Roman" w:hAnsi="Times New Roman" w:cs="Times New Roman"/>
          <w:sz w:val="24"/>
          <w:szCs w:val="24"/>
          <w:lang w:val="en-US" w:eastAsia="ru-RU"/>
        </w:rPr>
        <w:t>roubles</w:t>
      </w:r>
      <w:proofErr w:type="spellEnd"/>
      <w:r w:rsidR="00AA0377" w:rsidRPr="00AA0377">
        <w:rPr>
          <w:rFonts w:ascii="Times New Roman" w:eastAsia="Times New Roman" w:hAnsi="Times New Roman" w:cs="Times New Roman"/>
          <w:sz w:val="24"/>
          <w:szCs w:val="24"/>
          <w:lang w:val="en-US" w:eastAsia="ru-RU"/>
        </w:rPr>
        <w:t xml:space="preserve"> as of 01.01.2014. </w:t>
      </w:r>
      <w:r w:rsidR="00AA0377" w:rsidRPr="00AA0377">
        <w:rPr>
          <w:rFonts w:ascii="Times New Roman" w:hAnsi="Times New Roman" w:cs="Times New Roman"/>
          <w:sz w:val="24"/>
          <w:szCs w:val="24"/>
          <w:lang w:val="en-US"/>
        </w:rPr>
        <w:t xml:space="preserve">The securities portfolio denominated in foreign currency remained nearly the same and amounted to </w:t>
      </w:r>
      <w:r w:rsidR="00AA0377" w:rsidRPr="00AA0377">
        <w:rPr>
          <w:rFonts w:ascii="Times New Roman" w:eastAsia="Times New Roman" w:hAnsi="Times New Roman" w:cs="Times New Roman"/>
          <w:sz w:val="24"/>
          <w:szCs w:val="24"/>
          <w:lang w:val="en-US" w:eastAsia="ru-RU"/>
        </w:rPr>
        <w:t xml:space="preserve">306 million US dollars </w:t>
      </w:r>
      <w:r w:rsidR="00AA0377" w:rsidRPr="00AA0377">
        <w:rPr>
          <w:rFonts w:ascii="Times New Roman" w:hAnsi="Times New Roman" w:cs="Times New Roman"/>
          <w:sz w:val="24"/>
          <w:szCs w:val="24"/>
          <w:lang w:val="en-US"/>
        </w:rPr>
        <w:t xml:space="preserve">as of </w:t>
      </w:r>
      <w:r w:rsidR="00AA0377" w:rsidRPr="00AA0377">
        <w:rPr>
          <w:rFonts w:ascii="Times New Roman" w:eastAsia="Times New Roman" w:hAnsi="Times New Roman" w:cs="Times New Roman"/>
          <w:sz w:val="24"/>
          <w:szCs w:val="24"/>
          <w:lang w:val="en-US" w:eastAsia="ru-RU"/>
        </w:rPr>
        <w:t>01.01.2014</w:t>
      </w:r>
      <w:r w:rsidR="00AA0377" w:rsidRPr="00AA0377">
        <w:rPr>
          <w:rFonts w:ascii="Times New Roman" w:hAnsi="Times New Roman" w:cs="Times New Roman"/>
          <w:sz w:val="24"/>
          <w:szCs w:val="24"/>
          <w:lang w:val="en-US"/>
        </w:rPr>
        <w:t xml:space="preserve">. The volume of reverse </w:t>
      </w:r>
      <w:r w:rsidR="000B2640">
        <w:rPr>
          <w:rFonts w:ascii="Times New Roman" w:hAnsi="Times New Roman" w:cs="Times New Roman"/>
          <w:sz w:val="24"/>
          <w:szCs w:val="24"/>
          <w:lang w:val="en-US"/>
        </w:rPr>
        <w:t>REPO</w:t>
      </w:r>
      <w:r w:rsidR="00AA0377" w:rsidRPr="00AA0377">
        <w:rPr>
          <w:rFonts w:ascii="Times New Roman" w:hAnsi="Times New Roman" w:cs="Times New Roman"/>
          <w:sz w:val="24"/>
          <w:szCs w:val="24"/>
          <w:lang w:val="en-US"/>
        </w:rPr>
        <w:t xml:space="preserve">s with Eurobonds made up in annual average </w:t>
      </w:r>
      <w:r w:rsidR="00AA0377" w:rsidRPr="00AA0377">
        <w:rPr>
          <w:rFonts w:ascii="Times New Roman" w:eastAsia="Times New Roman" w:hAnsi="Times New Roman" w:cs="Times New Roman"/>
          <w:sz w:val="24"/>
          <w:szCs w:val="24"/>
          <w:lang w:val="en-US" w:eastAsia="ru-RU"/>
        </w:rPr>
        <w:t>15 million US dollars.</w:t>
      </w:r>
    </w:p>
    <w:p w:rsidR="00AA0377" w:rsidRPr="00AA0377" w:rsidRDefault="00AA0377" w:rsidP="00AA0377">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r w:rsidRPr="00AA0377">
        <w:rPr>
          <w:rFonts w:ascii="Times New Roman" w:hAnsi="Times New Roman" w:cs="Times New Roman"/>
          <w:sz w:val="24"/>
          <w:szCs w:val="24"/>
          <w:lang w:val="en-US"/>
        </w:rPr>
        <w:t>Taking into account the requirements for qualification of the central counterparty, the basic principle of NCC is the reliability of placing funds in the context of counterparties and financial instruments. Thus,</w:t>
      </w:r>
      <w:r w:rsidRPr="00AA0377">
        <w:rPr>
          <w:rFonts w:ascii="Times New Roman" w:eastAsia="Times New Roman" w:hAnsi="Times New Roman" w:cs="Times New Roman"/>
          <w:sz w:val="24"/>
          <w:szCs w:val="24"/>
          <w:lang w:val="en-US" w:eastAsia="ru-RU"/>
        </w:rPr>
        <w:t xml:space="preserve"> the emphasis during the </w:t>
      </w:r>
      <w:r w:rsidRPr="00AA0377">
        <w:rPr>
          <w:rFonts w:ascii="Times New Roman" w:hAnsi="Times New Roman" w:cs="Times New Roman"/>
          <w:sz w:val="24"/>
          <w:szCs w:val="24"/>
          <w:lang w:val="en-US"/>
        </w:rPr>
        <w:t>formation of assets and, in particular, the securities portfolio</w:t>
      </w:r>
      <w:r w:rsidRPr="00AA0377">
        <w:rPr>
          <w:rFonts w:ascii="Times New Roman" w:eastAsia="Times New Roman" w:hAnsi="Times New Roman" w:cs="Times New Roman"/>
          <w:sz w:val="24"/>
          <w:szCs w:val="24"/>
          <w:lang w:val="en-US" w:eastAsia="ru-RU"/>
        </w:rPr>
        <w:t>, w</w:t>
      </w:r>
      <w:r w:rsidR="00E35337">
        <w:rPr>
          <w:rFonts w:ascii="Times New Roman" w:eastAsia="Times New Roman" w:hAnsi="Times New Roman" w:cs="Times New Roman"/>
          <w:sz w:val="24"/>
          <w:szCs w:val="24"/>
          <w:lang w:val="en-US" w:eastAsia="ru-RU"/>
        </w:rPr>
        <w:t>ere</w:t>
      </w:r>
      <w:r w:rsidRPr="00AA0377">
        <w:rPr>
          <w:rFonts w:ascii="Times New Roman" w:eastAsia="Times New Roman" w:hAnsi="Times New Roman" w:cs="Times New Roman"/>
          <w:sz w:val="24"/>
          <w:szCs w:val="24"/>
          <w:lang w:val="en-US" w:eastAsia="ru-RU"/>
        </w:rPr>
        <w:t xml:space="preserve"> made on minimization </w:t>
      </w:r>
      <w:proofErr w:type="gramStart"/>
      <w:r w:rsidRPr="00AA0377">
        <w:rPr>
          <w:rFonts w:ascii="Times New Roman" w:eastAsia="Times New Roman" w:hAnsi="Times New Roman" w:cs="Times New Roman"/>
          <w:sz w:val="24"/>
          <w:szCs w:val="24"/>
          <w:lang w:val="en-US" w:eastAsia="ru-RU"/>
        </w:rPr>
        <w:t xml:space="preserve">of </w:t>
      </w:r>
      <w:r w:rsidR="000B2640">
        <w:rPr>
          <w:rFonts w:ascii="Times New Roman" w:eastAsia="Times New Roman" w:hAnsi="Times New Roman" w:cs="Times New Roman"/>
          <w:sz w:val="24"/>
          <w:szCs w:val="24"/>
          <w:lang w:val="en-US" w:eastAsia="ru-RU"/>
        </w:rPr>
        <w:t xml:space="preserve"> </w:t>
      </w:r>
      <w:r w:rsidRPr="00AA0377">
        <w:rPr>
          <w:rFonts w:ascii="Times New Roman" w:hAnsi="Times New Roman" w:cs="Times New Roman"/>
          <w:sz w:val="24"/>
          <w:szCs w:val="24"/>
          <w:lang w:val="en-US"/>
        </w:rPr>
        <w:t>credit</w:t>
      </w:r>
      <w:proofErr w:type="gramEnd"/>
      <w:r w:rsidRPr="00AA0377">
        <w:rPr>
          <w:rFonts w:ascii="Times New Roman" w:hAnsi="Times New Roman" w:cs="Times New Roman"/>
          <w:sz w:val="24"/>
          <w:szCs w:val="24"/>
          <w:lang w:val="en-US"/>
        </w:rPr>
        <w:t>, market and other risks</w:t>
      </w:r>
      <w:r w:rsidRPr="00AA0377">
        <w:rPr>
          <w:rFonts w:ascii="Times New Roman" w:eastAsia="Times New Roman" w:hAnsi="Times New Roman" w:cs="Times New Roman"/>
          <w:sz w:val="24"/>
          <w:szCs w:val="24"/>
          <w:lang w:val="en-US" w:eastAsia="ru-RU"/>
        </w:rPr>
        <w:t>.</w:t>
      </w:r>
    </w:p>
    <w:p w:rsidR="00AA0377" w:rsidRPr="00AA0377" w:rsidRDefault="00AA0377" w:rsidP="00AA0377">
      <w:pPr>
        <w:widowControl w:val="0"/>
        <w:overflowPunct w:val="0"/>
        <w:autoSpaceDE w:val="0"/>
        <w:autoSpaceDN w:val="0"/>
        <w:adjustRightInd w:val="0"/>
        <w:spacing w:after="120" w:line="240" w:lineRule="auto"/>
        <w:ind w:firstLine="567"/>
        <w:jc w:val="both"/>
        <w:textAlignment w:val="baseline"/>
        <w:rPr>
          <w:rFonts w:ascii="Times New Roman" w:hAnsi="Times New Roman" w:cs="Times New Roman"/>
          <w:sz w:val="24"/>
          <w:szCs w:val="24"/>
          <w:lang w:val="en-US"/>
        </w:rPr>
      </w:pPr>
      <w:r w:rsidRPr="00AA0377">
        <w:rPr>
          <w:rFonts w:ascii="Times New Roman" w:hAnsi="Times New Roman" w:cs="Times New Roman"/>
          <w:sz w:val="24"/>
          <w:szCs w:val="24"/>
          <w:lang w:val="en-US"/>
        </w:rPr>
        <w:t xml:space="preserve">The limit of the credit risk was achieved primarily due to allocation of a significant part of the assets to the financial instruments of counterparties and issuers with a high credit rating </w:t>
      </w:r>
      <w:r w:rsidR="00466FDF">
        <w:rPr>
          <w:rFonts w:ascii="Times New Roman" w:hAnsi="Times New Roman" w:cs="Times New Roman"/>
          <w:sz w:val="24"/>
          <w:szCs w:val="24"/>
          <w:lang w:val="en-US"/>
        </w:rPr>
        <w:t>of</w:t>
      </w:r>
      <w:r w:rsidRPr="00AA0377">
        <w:rPr>
          <w:rFonts w:ascii="Times New Roman" w:hAnsi="Times New Roman" w:cs="Times New Roman"/>
          <w:sz w:val="24"/>
          <w:szCs w:val="24"/>
          <w:lang w:val="en-US"/>
        </w:rPr>
        <w:t xml:space="preserve"> international rating agencies </w:t>
      </w:r>
      <w:r w:rsidRPr="00AA0377">
        <w:rPr>
          <w:rFonts w:ascii="Times New Roman" w:eastAsia="Times New Roman" w:hAnsi="Times New Roman" w:cs="Times New Roman"/>
          <w:sz w:val="24"/>
          <w:szCs w:val="24"/>
          <w:lang w:val="en-US" w:eastAsia="ru-RU"/>
        </w:rPr>
        <w:t xml:space="preserve">(Standard &amp; Poor`s, Moody`s Investors Service, Fitch Ratings) (see the Diagram in </w:t>
      </w:r>
      <w:r w:rsidRPr="00AA0377">
        <w:rPr>
          <w:rFonts w:ascii="Times New Roman" w:eastAsia="Calibri" w:hAnsi="Times New Roman" w:cs="Times New Roman"/>
          <w:sz w:val="24"/>
          <w:szCs w:val="24"/>
          <w:lang w:val="en-US"/>
        </w:rPr>
        <w:t xml:space="preserve">paragraph 7, unit </w:t>
      </w:r>
      <w:r w:rsidRPr="00AA0377">
        <w:rPr>
          <w:rFonts w:ascii="Times New Roman" w:eastAsia="Times New Roman" w:hAnsi="Times New Roman" w:cs="Times New Roman"/>
          <w:sz w:val="24"/>
          <w:szCs w:val="24"/>
          <w:lang w:val="en-US" w:eastAsia="ru-RU"/>
        </w:rPr>
        <w:t>III “</w:t>
      </w:r>
      <w:r w:rsidR="007D2179">
        <w:rPr>
          <w:rFonts w:ascii="Times New Roman" w:eastAsia="Times New Roman" w:hAnsi="Times New Roman" w:cs="Times New Roman"/>
          <w:sz w:val="24"/>
          <w:szCs w:val="24"/>
          <w:lang w:val="en-US" w:eastAsia="ru-RU"/>
        </w:rPr>
        <w:t>Credit</w:t>
      </w:r>
      <w:r w:rsidRPr="00AA0377">
        <w:rPr>
          <w:rFonts w:ascii="Times New Roman" w:eastAsia="Times New Roman" w:hAnsi="Times New Roman" w:cs="Times New Roman"/>
          <w:sz w:val="24"/>
          <w:szCs w:val="24"/>
          <w:lang w:val="en-US" w:eastAsia="ru-RU"/>
        </w:rPr>
        <w:t xml:space="preserve"> Risks Management")</w:t>
      </w:r>
      <w:r w:rsidRPr="00AA0377">
        <w:rPr>
          <w:rFonts w:ascii="Times New Roman" w:hAnsi="Times New Roman" w:cs="Times New Roman"/>
          <w:sz w:val="24"/>
          <w:szCs w:val="24"/>
          <w:lang w:val="en-US"/>
        </w:rPr>
        <w:t>.</w:t>
      </w:r>
    </w:p>
    <w:p w:rsidR="00AA0377" w:rsidRPr="00AA0377" w:rsidRDefault="00AA0377" w:rsidP="00AA0377">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r w:rsidRPr="00AA0377">
        <w:rPr>
          <w:rFonts w:ascii="Times New Roman" w:hAnsi="Times New Roman" w:cs="Times New Roman"/>
          <w:sz w:val="24"/>
          <w:szCs w:val="24"/>
          <w:lang w:val="en-US"/>
        </w:rPr>
        <w:t>The limit of the market risk was observed due to the maintenance of low assets duration</w:t>
      </w:r>
      <w:r w:rsidRPr="00AA0377">
        <w:rPr>
          <w:rFonts w:ascii="Times New Roman" w:eastAsia="Times New Roman" w:hAnsi="Times New Roman" w:cs="Times New Roman"/>
          <w:sz w:val="24"/>
          <w:szCs w:val="24"/>
          <w:lang w:val="en-US" w:eastAsia="ru-RU"/>
        </w:rPr>
        <w:t>:</w:t>
      </w:r>
    </w:p>
    <w:p w:rsidR="00AA0377" w:rsidRPr="00AA0377" w:rsidRDefault="00AA0377" w:rsidP="00472CA4">
      <w:pPr>
        <w:widowControl w:val="0"/>
        <w:numPr>
          <w:ilvl w:val="0"/>
          <w:numId w:val="29"/>
        </w:numPr>
        <w:overflowPunct w:val="0"/>
        <w:autoSpaceDE w:val="0"/>
        <w:autoSpaceDN w:val="0"/>
        <w:adjustRightInd w:val="0"/>
        <w:spacing w:after="120" w:line="240" w:lineRule="auto"/>
        <w:ind w:left="1417" w:hanging="567"/>
        <w:contextualSpacing/>
        <w:jc w:val="both"/>
        <w:textAlignment w:val="baseline"/>
        <w:rPr>
          <w:rFonts w:ascii="Times New Roman" w:eastAsia="Times New Roman" w:hAnsi="Times New Roman" w:cs="Times New Roman"/>
          <w:sz w:val="24"/>
          <w:szCs w:val="24"/>
          <w:lang w:val="en-US" w:eastAsia="ru-RU"/>
        </w:rPr>
      </w:pPr>
      <w:r w:rsidRPr="00AA0377">
        <w:rPr>
          <w:rFonts w:ascii="Times New Roman" w:hAnsi="Times New Roman" w:cs="Times New Roman"/>
          <w:sz w:val="24"/>
          <w:szCs w:val="24"/>
          <w:lang w:val="en-US"/>
        </w:rPr>
        <w:t xml:space="preserve">the terms of deposits and currency swap deals did not exceed </w:t>
      </w:r>
      <w:r w:rsidRPr="00AA0377">
        <w:rPr>
          <w:rFonts w:ascii="Times New Roman" w:eastAsia="Times New Roman" w:hAnsi="Times New Roman" w:cs="Times New Roman"/>
          <w:sz w:val="24"/>
          <w:szCs w:val="24"/>
          <w:lang w:val="en-US" w:eastAsia="ru-RU"/>
        </w:rPr>
        <w:t>three months;</w:t>
      </w:r>
    </w:p>
    <w:p w:rsidR="00AA0377" w:rsidRPr="00AA0377" w:rsidRDefault="00AA0377" w:rsidP="00472CA4">
      <w:pPr>
        <w:widowControl w:val="0"/>
        <w:numPr>
          <w:ilvl w:val="0"/>
          <w:numId w:val="29"/>
        </w:numPr>
        <w:overflowPunct w:val="0"/>
        <w:autoSpaceDE w:val="0"/>
        <w:autoSpaceDN w:val="0"/>
        <w:adjustRightInd w:val="0"/>
        <w:spacing w:after="120" w:line="240" w:lineRule="auto"/>
        <w:ind w:left="1417" w:hanging="567"/>
        <w:contextualSpacing/>
        <w:jc w:val="both"/>
        <w:textAlignment w:val="baseline"/>
        <w:rPr>
          <w:rFonts w:ascii="Times New Roman" w:eastAsia="Times New Roman" w:hAnsi="Times New Roman" w:cs="Times New Roman"/>
          <w:sz w:val="24"/>
          <w:szCs w:val="24"/>
          <w:lang w:val="en-US" w:eastAsia="ru-RU"/>
        </w:rPr>
      </w:pPr>
      <w:proofErr w:type="gramStart"/>
      <w:r w:rsidRPr="00AA0377">
        <w:rPr>
          <w:rFonts w:ascii="Times New Roman" w:hAnsi="Times New Roman" w:cs="Times New Roman"/>
          <w:sz w:val="24"/>
          <w:szCs w:val="24"/>
          <w:lang w:val="en-US"/>
        </w:rPr>
        <w:t>the</w:t>
      </w:r>
      <w:proofErr w:type="gramEnd"/>
      <w:r w:rsidRPr="00AA0377">
        <w:rPr>
          <w:rFonts w:ascii="Times New Roman" w:hAnsi="Times New Roman" w:cs="Times New Roman"/>
          <w:sz w:val="24"/>
          <w:szCs w:val="24"/>
          <w:lang w:val="en-US"/>
        </w:rPr>
        <w:t xml:space="preserve"> duration of the securities portfolio did not exceed </w:t>
      </w:r>
      <w:r w:rsidRPr="00AA0377">
        <w:rPr>
          <w:rFonts w:ascii="Times New Roman" w:eastAsia="Times New Roman" w:hAnsi="Times New Roman" w:cs="Times New Roman"/>
          <w:sz w:val="24"/>
          <w:szCs w:val="24"/>
          <w:lang w:val="en-US" w:eastAsia="ru-RU"/>
        </w:rPr>
        <w:t>1 year (as of 01.01.2014 – 0.79 year).</w:t>
      </w:r>
    </w:p>
    <w:p w:rsidR="00AA0377" w:rsidRPr="00AA0377" w:rsidRDefault="00AA0377" w:rsidP="00AA0377">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p>
    <w:p w:rsidR="00AA0377" w:rsidRPr="00AA0377" w:rsidRDefault="00AA0377" w:rsidP="00AA0377">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 xml:space="preserve">Besides the </w:t>
      </w:r>
      <w:r w:rsidRPr="00AA0377">
        <w:rPr>
          <w:rFonts w:ascii="Times New Roman" w:hAnsi="Times New Roman" w:cs="Times New Roman"/>
          <w:sz w:val="24"/>
          <w:szCs w:val="24"/>
          <w:lang w:val="en-US"/>
        </w:rPr>
        <w:t>portfolio</w:t>
      </w:r>
      <w:r w:rsidRPr="00AA0377">
        <w:rPr>
          <w:rFonts w:ascii="Times New Roman" w:eastAsia="Times New Roman" w:hAnsi="Times New Roman" w:cs="Times New Roman"/>
          <w:sz w:val="24"/>
          <w:szCs w:val="24"/>
          <w:lang w:val="en-US" w:eastAsia="ru-RU"/>
        </w:rPr>
        <w:t xml:space="preserve"> increase, the </w:t>
      </w:r>
      <w:r w:rsidRPr="00AA0377">
        <w:rPr>
          <w:rFonts w:ascii="Times New Roman" w:hAnsi="Times New Roman" w:cs="Times New Roman"/>
          <w:sz w:val="24"/>
          <w:szCs w:val="24"/>
          <w:lang w:val="en-US"/>
        </w:rPr>
        <w:t xml:space="preserve">liabilities increase </w:t>
      </w:r>
      <w:r w:rsidRPr="00AA0377">
        <w:rPr>
          <w:rFonts w:ascii="Times New Roman" w:eastAsia="Times New Roman" w:hAnsi="Times New Roman" w:cs="Times New Roman"/>
          <w:sz w:val="24"/>
          <w:szCs w:val="24"/>
          <w:lang w:val="en-US" w:eastAsia="ru-RU"/>
        </w:rPr>
        <w:t>stipulated a growing number of trades on</w:t>
      </w:r>
      <w:r w:rsidR="000B2640">
        <w:rPr>
          <w:rFonts w:ascii="Times New Roman" w:eastAsia="Times New Roman" w:hAnsi="Times New Roman" w:cs="Times New Roman"/>
          <w:sz w:val="24"/>
          <w:szCs w:val="24"/>
          <w:lang w:val="en-US" w:eastAsia="ru-RU"/>
        </w:rPr>
        <w:t xml:space="preserve"> the</w:t>
      </w:r>
      <w:r w:rsidRPr="00AA0377">
        <w:rPr>
          <w:rFonts w:ascii="Times New Roman" w:eastAsia="Times New Roman" w:hAnsi="Times New Roman" w:cs="Times New Roman"/>
          <w:sz w:val="24"/>
          <w:szCs w:val="24"/>
          <w:lang w:val="en-US" w:eastAsia="ru-RU"/>
        </w:rPr>
        <w:t xml:space="preserve"> interbank market. That way, the total average annual volume of placed deposits in </w:t>
      </w:r>
      <w:proofErr w:type="spellStart"/>
      <w:r w:rsidRPr="00AA0377">
        <w:rPr>
          <w:rFonts w:ascii="Times New Roman" w:eastAsia="Times New Roman" w:hAnsi="Times New Roman" w:cs="Times New Roman"/>
          <w:sz w:val="24"/>
          <w:szCs w:val="24"/>
          <w:lang w:val="en-US" w:eastAsia="ru-RU"/>
        </w:rPr>
        <w:t>roubles</w:t>
      </w:r>
      <w:proofErr w:type="spellEnd"/>
      <w:r w:rsidRPr="00AA0377">
        <w:rPr>
          <w:rFonts w:ascii="Times New Roman" w:eastAsia="Times New Roman" w:hAnsi="Times New Roman" w:cs="Times New Roman"/>
          <w:sz w:val="24"/>
          <w:szCs w:val="24"/>
          <w:lang w:val="en-US" w:eastAsia="ru-RU"/>
        </w:rPr>
        <w:t xml:space="preserve"> and SWAP trades ha</w:t>
      </w:r>
      <w:r w:rsidR="008F7442">
        <w:rPr>
          <w:rFonts w:ascii="Times New Roman" w:eastAsia="Times New Roman" w:hAnsi="Times New Roman" w:cs="Times New Roman"/>
          <w:sz w:val="24"/>
          <w:szCs w:val="24"/>
          <w:lang w:val="en-US" w:eastAsia="ru-RU"/>
        </w:rPr>
        <w:t>ve</w:t>
      </w:r>
      <w:r w:rsidRPr="00AA0377">
        <w:rPr>
          <w:rFonts w:ascii="Times New Roman" w:eastAsia="Times New Roman" w:hAnsi="Times New Roman" w:cs="Times New Roman"/>
          <w:sz w:val="24"/>
          <w:szCs w:val="24"/>
          <w:lang w:val="en-US" w:eastAsia="ru-RU"/>
        </w:rPr>
        <w:t xml:space="preserve"> grown more than twice and made up nearly 13 billion </w:t>
      </w:r>
      <w:proofErr w:type="spellStart"/>
      <w:r w:rsidRPr="00AA0377">
        <w:rPr>
          <w:rFonts w:ascii="Times New Roman" w:hAnsi="Times New Roman" w:cs="Times New Roman"/>
          <w:sz w:val="24"/>
          <w:szCs w:val="24"/>
          <w:lang w:val="en-US"/>
        </w:rPr>
        <w:t>roubles</w:t>
      </w:r>
      <w:proofErr w:type="spellEnd"/>
      <w:r w:rsidRPr="00AA0377">
        <w:rPr>
          <w:rFonts w:ascii="Times New Roman" w:eastAsia="Times New Roman" w:hAnsi="Times New Roman" w:cs="Times New Roman"/>
          <w:sz w:val="24"/>
          <w:szCs w:val="24"/>
          <w:lang w:val="en-US" w:eastAsia="ru-RU"/>
        </w:rPr>
        <w:t>.</w:t>
      </w:r>
      <w:r w:rsidR="00FB2750">
        <w:rPr>
          <w:rFonts w:ascii="Times New Roman" w:eastAsia="Times New Roman" w:hAnsi="Times New Roman" w:cs="Times New Roman"/>
          <w:sz w:val="24"/>
          <w:szCs w:val="24"/>
          <w:lang w:val="en-US" w:eastAsia="ru-RU"/>
        </w:rPr>
        <w:t xml:space="preserve"> </w:t>
      </w:r>
      <w:r w:rsidRPr="00AA0377">
        <w:rPr>
          <w:rFonts w:ascii="Times New Roman" w:eastAsia="Times New Roman" w:hAnsi="Times New Roman" w:cs="Times New Roman"/>
          <w:sz w:val="24"/>
          <w:szCs w:val="24"/>
          <w:lang w:val="en-US" w:eastAsia="ru-RU"/>
        </w:rPr>
        <w:t xml:space="preserve">From now on, the number of trades on financial markets is expected to grow due to the occurrence of new exchange products (markets), where NCC shall be a central counterparty. In particular, the trades are expected to be held with physical and unallocated metals within the framework of clearing collateral on precious metals trading launched on Moscow Exchange </w:t>
      </w:r>
      <w:r w:rsidR="001F19BC">
        <w:rPr>
          <w:rFonts w:ascii="Times New Roman" w:eastAsia="Times New Roman" w:hAnsi="Times New Roman" w:cs="Times New Roman"/>
          <w:sz w:val="24"/>
          <w:szCs w:val="24"/>
          <w:lang w:val="en-US" w:eastAsia="ru-RU"/>
        </w:rPr>
        <w:t>at</w:t>
      </w:r>
      <w:r w:rsidRPr="00AA0377">
        <w:rPr>
          <w:rFonts w:ascii="Times New Roman" w:eastAsia="Times New Roman" w:hAnsi="Times New Roman" w:cs="Times New Roman"/>
          <w:sz w:val="24"/>
          <w:szCs w:val="24"/>
          <w:lang w:val="en-US" w:eastAsia="ru-RU"/>
        </w:rPr>
        <w:t xml:space="preserve"> the end of 2013. Also, with the new exchange products (markets) taken for Clearing Services, NCC shall expand the range of financial instruments and the number of trades on cash flow management when managing liquidity of </w:t>
      </w:r>
      <w:r w:rsidRPr="00AA0377">
        <w:rPr>
          <w:rFonts w:ascii="Times New Roman" w:hAnsi="Times New Roman" w:cs="Times New Roman"/>
          <w:sz w:val="24"/>
          <w:szCs w:val="24"/>
          <w:lang w:val="en-US"/>
        </w:rPr>
        <w:t>Moscow Exchange Group</w:t>
      </w:r>
      <w:r w:rsidRPr="00AA0377">
        <w:rPr>
          <w:rFonts w:ascii="Times New Roman" w:eastAsia="Times New Roman" w:hAnsi="Times New Roman" w:cs="Times New Roman"/>
          <w:sz w:val="24"/>
          <w:szCs w:val="24"/>
          <w:lang w:val="en-US" w:eastAsia="ru-RU"/>
        </w:rPr>
        <w:t xml:space="preserve"> companies.</w:t>
      </w:r>
    </w:p>
    <w:p w:rsidR="00AA0377" w:rsidRPr="00AA0377" w:rsidRDefault="00AA0377" w:rsidP="00AA0377">
      <w:pPr>
        <w:widowControl w:val="0"/>
        <w:autoSpaceDE w:val="0"/>
        <w:autoSpaceDN w:val="0"/>
        <w:adjustRightInd w:val="0"/>
        <w:spacing w:after="120" w:line="240" w:lineRule="auto"/>
        <w:ind w:firstLine="567"/>
        <w:jc w:val="both"/>
        <w:rPr>
          <w:rFonts w:ascii="Times New Roman" w:eastAsia="Calibri" w:hAnsi="Times New Roman" w:cs="Times New Roman"/>
          <w:sz w:val="24"/>
          <w:szCs w:val="24"/>
          <w:lang w:val="en-US"/>
        </w:rPr>
      </w:pPr>
    </w:p>
    <w:p w:rsidR="00AA0377" w:rsidRPr="00AA0377" w:rsidRDefault="00AA0377" w:rsidP="00AA0377">
      <w:pPr>
        <w:widowControl w:val="0"/>
        <w:autoSpaceDE w:val="0"/>
        <w:autoSpaceDN w:val="0"/>
        <w:adjustRightInd w:val="0"/>
        <w:spacing w:after="120" w:line="240" w:lineRule="auto"/>
        <w:ind w:firstLine="567"/>
        <w:jc w:val="both"/>
        <w:rPr>
          <w:rFonts w:ascii="Times New Roman" w:eastAsia="Calibri" w:hAnsi="Times New Roman" w:cs="Times New Roman"/>
          <w:sz w:val="24"/>
          <w:szCs w:val="24"/>
          <w:lang w:val="en-US"/>
        </w:rPr>
      </w:pPr>
      <w:r w:rsidRPr="00AA0377">
        <w:rPr>
          <w:rFonts w:ascii="Times New Roman" w:eastAsia="Calibri" w:hAnsi="Times New Roman" w:cs="Times New Roman"/>
          <w:sz w:val="24"/>
          <w:szCs w:val="24"/>
          <w:lang w:val="en-US"/>
        </w:rPr>
        <w:t xml:space="preserve">NCC’s liabilities available for providing as collateral as of 01.01.2014 amounted to 66,910 million </w:t>
      </w:r>
      <w:proofErr w:type="spellStart"/>
      <w:r w:rsidRPr="00AA0377">
        <w:rPr>
          <w:rFonts w:ascii="Times New Roman" w:eastAsia="Calibri" w:hAnsi="Times New Roman" w:cs="Times New Roman"/>
          <w:sz w:val="24"/>
          <w:szCs w:val="24"/>
          <w:lang w:val="en-US"/>
        </w:rPr>
        <w:t>roubles</w:t>
      </w:r>
      <w:proofErr w:type="spellEnd"/>
      <w:r w:rsidRPr="00AA0377">
        <w:rPr>
          <w:rFonts w:ascii="Times New Roman" w:eastAsia="Calibri" w:hAnsi="Times New Roman" w:cs="Times New Roman"/>
          <w:sz w:val="24"/>
          <w:szCs w:val="24"/>
          <w:lang w:val="en-US"/>
        </w:rPr>
        <w:t xml:space="preserve"> (in </w:t>
      </w:r>
      <w:proofErr w:type="spellStart"/>
      <w:r w:rsidRPr="00AA0377">
        <w:rPr>
          <w:rFonts w:ascii="Times New Roman" w:eastAsia="Calibri" w:hAnsi="Times New Roman" w:cs="Times New Roman"/>
          <w:sz w:val="24"/>
          <w:szCs w:val="24"/>
          <w:lang w:val="en-US"/>
        </w:rPr>
        <w:t>rouble</w:t>
      </w:r>
      <w:proofErr w:type="spellEnd"/>
      <w:r w:rsidRPr="00AA0377">
        <w:rPr>
          <w:rFonts w:ascii="Times New Roman" w:eastAsia="Calibri" w:hAnsi="Times New Roman" w:cs="Times New Roman"/>
          <w:sz w:val="24"/>
          <w:szCs w:val="24"/>
          <w:lang w:val="en-US"/>
        </w:rPr>
        <w:t xml:space="preserve"> equivalent), including:</w:t>
      </w:r>
    </w:p>
    <w:p w:rsidR="00AA0377" w:rsidRPr="00AA0377" w:rsidRDefault="00AA0377" w:rsidP="00472CA4">
      <w:pPr>
        <w:widowControl w:val="0"/>
        <w:numPr>
          <w:ilvl w:val="0"/>
          <w:numId w:val="30"/>
        </w:numPr>
        <w:autoSpaceDE w:val="0"/>
        <w:autoSpaceDN w:val="0"/>
        <w:adjustRightInd w:val="0"/>
        <w:spacing w:after="120" w:line="240" w:lineRule="auto"/>
        <w:ind w:left="1417" w:hanging="567"/>
        <w:contextualSpacing/>
        <w:jc w:val="both"/>
        <w:rPr>
          <w:rFonts w:ascii="Times New Roman" w:eastAsia="Calibri" w:hAnsi="Times New Roman" w:cs="Times New Roman"/>
          <w:sz w:val="24"/>
          <w:szCs w:val="24"/>
          <w:lang w:val="en-US"/>
        </w:rPr>
      </w:pPr>
      <w:r w:rsidRPr="00AA0377">
        <w:rPr>
          <w:rFonts w:ascii="Times New Roman" w:eastAsia="Calibri" w:hAnsi="Times New Roman" w:cs="Times New Roman"/>
          <w:sz w:val="24"/>
          <w:szCs w:val="24"/>
          <w:lang w:val="en-US"/>
        </w:rPr>
        <w:t xml:space="preserve">bonds of Russian issuers in Russian </w:t>
      </w:r>
      <w:proofErr w:type="spellStart"/>
      <w:r w:rsidRPr="00AA0377">
        <w:rPr>
          <w:rFonts w:ascii="Times New Roman" w:eastAsia="Calibri" w:hAnsi="Times New Roman" w:cs="Times New Roman"/>
          <w:sz w:val="24"/>
          <w:szCs w:val="24"/>
          <w:lang w:val="en-US"/>
        </w:rPr>
        <w:t>roubles</w:t>
      </w:r>
      <w:proofErr w:type="spellEnd"/>
      <w:r w:rsidRPr="00AA0377">
        <w:rPr>
          <w:rFonts w:ascii="Times New Roman" w:eastAsia="Calibri" w:hAnsi="Times New Roman" w:cs="Times New Roman"/>
          <w:sz w:val="24"/>
          <w:szCs w:val="24"/>
          <w:lang w:val="en-US"/>
        </w:rPr>
        <w:t xml:space="preserve"> – 56,883.328 million </w:t>
      </w:r>
      <w:proofErr w:type="spellStart"/>
      <w:r w:rsidRPr="00AA0377">
        <w:rPr>
          <w:rFonts w:ascii="Times New Roman" w:eastAsia="Calibri" w:hAnsi="Times New Roman" w:cs="Times New Roman"/>
          <w:sz w:val="24"/>
          <w:szCs w:val="24"/>
          <w:lang w:val="en-US"/>
        </w:rPr>
        <w:t>roubles</w:t>
      </w:r>
      <w:proofErr w:type="spellEnd"/>
      <w:r w:rsidRPr="00AA0377">
        <w:rPr>
          <w:rFonts w:ascii="Times New Roman" w:eastAsia="Calibri" w:hAnsi="Times New Roman" w:cs="Times New Roman"/>
          <w:sz w:val="24"/>
          <w:szCs w:val="24"/>
          <w:lang w:val="en-US"/>
        </w:rPr>
        <w:t>;</w:t>
      </w:r>
    </w:p>
    <w:p w:rsidR="00AA0377" w:rsidRPr="00AA0377" w:rsidRDefault="00AA0377" w:rsidP="00472CA4">
      <w:pPr>
        <w:widowControl w:val="0"/>
        <w:numPr>
          <w:ilvl w:val="0"/>
          <w:numId w:val="30"/>
        </w:numPr>
        <w:autoSpaceDE w:val="0"/>
        <w:autoSpaceDN w:val="0"/>
        <w:adjustRightInd w:val="0"/>
        <w:spacing w:after="120" w:line="240" w:lineRule="auto"/>
        <w:ind w:left="1417" w:hanging="567"/>
        <w:contextualSpacing/>
        <w:jc w:val="both"/>
        <w:rPr>
          <w:rFonts w:ascii="Times New Roman" w:eastAsia="Calibri" w:hAnsi="Times New Roman" w:cs="Times New Roman"/>
          <w:sz w:val="24"/>
          <w:szCs w:val="24"/>
          <w:lang w:val="en-US"/>
        </w:rPr>
      </w:pPr>
      <w:r w:rsidRPr="00AA0377">
        <w:rPr>
          <w:rFonts w:ascii="Times New Roman" w:eastAsia="Calibri" w:hAnsi="Times New Roman" w:cs="Times New Roman"/>
          <w:sz w:val="24"/>
          <w:szCs w:val="24"/>
          <w:lang w:val="en-US"/>
        </w:rPr>
        <w:t>bonds of Russian issuers in US dollars – 7.569 million US dollars;</w:t>
      </w:r>
    </w:p>
    <w:p w:rsidR="00AA0377" w:rsidRPr="00AA0377" w:rsidRDefault="00AA0377" w:rsidP="00472CA4">
      <w:pPr>
        <w:widowControl w:val="0"/>
        <w:numPr>
          <w:ilvl w:val="0"/>
          <w:numId w:val="30"/>
        </w:numPr>
        <w:autoSpaceDE w:val="0"/>
        <w:autoSpaceDN w:val="0"/>
        <w:adjustRightInd w:val="0"/>
        <w:spacing w:after="120" w:line="240" w:lineRule="auto"/>
        <w:ind w:left="1417" w:hanging="567"/>
        <w:contextualSpacing/>
        <w:jc w:val="both"/>
        <w:rPr>
          <w:rFonts w:ascii="Times New Roman" w:eastAsia="Calibri" w:hAnsi="Times New Roman" w:cs="Times New Roman"/>
          <w:bCs/>
          <w:sz w:val="24"/>
          <w:szCs w:val="24"/>
          <w:lang w:val="en-US"/>
        </w:rPr>
      </w:pPr>
      <w:proofErr w:type="gramStart"/>
      <w:r w:rsidRPr="00AA0377">
        <w:rPr>
          <w:rFonts w:ascii="Times New Roman" w:eastAsia="Calibri" w:hAnsi="Times New Roman" w:cs="Times New Roman"/>
          <w:bCs/>
          <w:sz w:val="24"/>
          <w:szCs w:val="24"/>
          <w:lang w:val="en-US"/>
        </w:rPr>
        <w:t>bonds</w:t>
      </w:r>
      <w:proofErr w:type="gramEnd"/>
      <w:r w:rsidRPr="00AA0377">
        <w:rPr>
          <w:rFonts w:ascii="Times New Roman" w:eastAsia="Calibri" w:hAnsi="Times New Roman" w:cs="Times New Roman"/>
          <w:bCs/>
          <w:sz w:val="24"/>
          <w:szCs w:val="24"/>
          <w:lang w:val="en-US"/>
        </w:rPr>
        <w:t xml:space="preserve"> issued by non-resident of the Russian Federation legal bodies outside the borders of the Russian Federation </w:t>
      </w:r>
      <w:r w:rsidRPr="00AA0377">
        <w:rPr>
          <w:rFonts w:ascii="Times New Roman" w:eastAsia="Calibri" w:hAnsi="Times New Roman" w:cs="Times New Roman"/>
          <w:sz w:val="24"/>
          <w:szCs w:val="24"/>
          <w:lang w:val="en-US"/>
        </w:rPr>
        <w:t xml:space="preserve">in US dollars </w:t>
      </w:r>
      <w:r w:rsidRPr="00AA0377">
        <w:rPr>
          <w:rFonts w:ascii="Times New Roman" w:eastAsia="Calibri" w:hAnsi="Times New Roman" w:cs="Times New Roman"/>
          <w:bCs/>
          <w:sz w:val="24"/>
          <w:szCs w:val="24"/>
          <w:lang w:val="en-US"/>
        </w:rPr>
        <w:t xml:space="preserve">– 298.794 million </w:t>
      </w:r>
      <w:r w:rsidRPr="00AA0377">
        <w:rPr>
          <w:rFonts w:ascii="Times New Roman" w:eastAsia="Calibri" w:hAnsi="Times New Roman" w:cs="Times New Roman"/>
          <w:sz w:val="24"/>
          <w:szCs w:val="24"/>
          <w:lang w:val="en-US"/>
        </w:rPr>
        <w:t>US dollars</w:t>
      </w:r>
      <w:r w:rsidRPr="00AA0377">
        <w:rPr>
          <w:rFonts w:ascii="Times New Roman" w:eastAsia="Calibri" w:hAnsi="Times New Roman" w:cs="Times New Roman"/>
          <w:bCs/>
          <w:sz w:val="24"/>
          <w:szCs w:val="24"/>
          <w:lang w:val="en-US"/>
        </w:rPr>
        <w:t>.</w:t>
      </w:r>
    </w:p>
    <w:p w:rsidR="00AA0377" w:rsidRPr="00AA0377" w:rsidRDefault="00AA0377" w:rsidP="00AA0377">
      <w:pPr>
        <w:widowControl w:val="0"/>
        <w:autoSpaceDE w:val="0"/>
        <w:autoSpaceDN w:val="0"/>
        <w:adjustRightInd w:val="0"/>
        <w:spacing w:after="120" w:line="240" w:lineRule="auto"/>
        <w:ind w:firstLine="567"/>
        <w:jc w:val="both"/>
        <w:rPr>
          <w:rFonts w:ascii="Times New Roman" w:eastAsia="Calibri" w:hAnsi="Times New Roman" w:cs="Times New Roman"/>
          <w:bCs/>
          <w:sz w:val="24"/>
          <w:szCs w:val="24"/>
          <w:lang w:val="en-US"/>
        </w:rPr>
      </w:pPr>
    </w:p>
    <w:p w:rsidR="00AA0377" w:rsidRPr="00AA0377" w:rsidRDefault="00AA0377" w:rsidP="00AA0377">
      <w:pPr>
        <w:widowControl w:val="0"/>
        <w:autoSpaceDE w:val="0"/>
        <w:autoSpaceDN w:val="0"/>
        <w:adjustRightInd w:val="0"/>
        <w:spacing w:after="120" w:line="240" w:lineRule="auto"/>
        <w:ind w:firstLine="567"/>
        <w:jc w:val="both"/>
        <w:rPr>
          <w:rFonts w:ascii="Times New Roman" w:eastAsia="Calibri" w:hAnsi="Times New Roman" w:cs="Times New Roman"/>
          <w:sz w:val="24"/>
          <w:szCs w:val="24"/>
          <w:lang w:val="en-US"/>
        </w:rPr>
      </w:pPr>
      <w:r w:rsidRPr="00AA0377">
        <w:rPr>
          <w:rFonts w:ascii="Times New Roman" w:eastAsia="Calibri" w:hAnsi="Times New Roman" w:cs="Times New Roman"/>
          <w:bCs/>
          <w:sz w:val="24"/>
          <w:szCs w:val="24"/>
          <w:lang w:val="en-US"/>
        </w:rPr>
        <w:t xml:space="preserve">Together with the above-listed assets, available assets (taken as collateral by the </w:t>
      </w:r>
      <w:r w:rsidR="000B2640">
        <w:rPr>
          <w:rFonts w:ascii="Times New Roman" w:eastAsia="Calibri" w:hAnsi="Times New Roman" w:cs="Times New Roman"/>
          <w:bCs/>
          <w:sz w:val="24"/>
          <w:szCs w:val="24"/>
          <w:lang w:val="en-US"/>
        </w:rPr>
        <w:t>B</w:t>
      </w:r>
      <w:r w:rsidRPr="00AA0377">
        <w:rPr>
          <w:rFonts w:ascii="Times New Roman" w:eastAsia="Calibri" w:hAnsi="Times New Roman" w:cs="Times New Roman"/>
          <w:bCs/>
          <w:sz w:val="24"/>
          <w:szCs w:val="24"/>
          <w:lang w:val="en-US"/>
        </w:rPr>
        <w:t>ank of Russia</w:t>
      </w:r>
      <w:r w:rsidRPr="00AA0377">
        <w:rPr>
          <w:rFonts w:ascii="Times New Roman" w:eastAsia="Calibri" w:hAnsi="Times New Roman" w:cs="Times New Roman"/>
          <w:sz w:val="24"/>
          <w:szCs w:val="24"/>
          <w:lang w:val="en-US"/>
        </w:rPr>
        <w:t xml:space="preserve">) made up 61,094 million </w:t>
      </w:r>
      <w:proofErr w:type="spellStart"/>
      <w:r w:rsidRPr="00AA0377">
        <w:rPr>
          <w:rFonts w:ascii="Times New Roman" w:eastAsia="Calibri" w:hAnsi="Times New Roman" w:cs="Times New Roman"/>
          <w:sz w:val="24"/>
          <w:szCs w:val="24"/>
          <w:lang w:val="en-US"/>
        </w:rPr>
        <w:t>roubles</w:t>
      </w:r>
      <w:proofErr w:type="spellEnd"/>
      <w:r w:rsidRPr="00AA0377">
        <w:rPr>
          <w:rFonts w:ascii="Times New Roman" w:eastAsia="Calibri" w:hAnsi="Times New Roman" w:cs="Times New Roman"/>
          <w:sz w:val="24"/>
          <w:szCs w:val="24"/>
          <w:lang w:val="en-US"/>
        </w:rPr>
        <w:t xml:space="preserve"> (in </w:t>
      </w:r>
      <w:proofErr w:type="spellStart"/>
      <w:r w:rsidRPr="00AA0377">
        <w:rPr>
          <w:rFonts w:ascii="Times New Roman" w:eastAsia="Calibri" w:hAnsi="Times New Roman" w:cs="Times New Roman"/>
          <w:sz w:val="24"/>
          <w:szCs w:val="24"/>
          <w:lang w:val="en-US"/>
        </w:rPr>
        <w:t>rouble</w:t>
      </w:r>
      <w:proofErr w:type="spellEnd"/>
      <w:r w:rsidRPr="00AA0377">
        <w:rPr>
          <w:rFonts w:ascii="Times New Roman" w:eastAsia="Calibri" w:hAnsi="Times New Roman" w:cs="Times New Roman"/>
          <w:sz w:val="24"/>
          <w:szCs w:val="24"/>
          <w:lang w:val="en-US"/>
        </w:rPr>
        <w:t xml:space="preserve"> equivalent), including:</w:t>
      </w:r>
    </w:p>
    <w:p w:rsidR="00AA0377" w:rsidRPr="00AA0377" w:rsidRDefault="00AA0377" w:rsidP="00472CA4">
      <w:pPr>
        <w:widowControl w:val="0"/>
        <w:numPr>
          <w:ilvl w:val="0"/>
          <w:numId w:val="31"/>
        </w:numPr>
        <w:autoSpaceDE w:val="0"/>
        <w:autoSpaceDN w:val="0"/>
        <w:adjustRightInd w:val="0"/>
        <w:spacing w:after="120" w:line="240" w:lineRule="auto"/>
        <w:ind w:left="1417" w:hanging="567"/>
        <w:contextualSpacing/>
        <w:jc w:val="both"/>
        <w:rPr>
          <w:rFonts w:ascii="Times New Roman" w:eastAsia="Calibri" w:hAnsi="Times New Roman" w:cs="Times New Roman"/>
          <w:sz w:val="24"/>
          <w:szCs w:val="24"/>
          <w:lang w:val="en-US"/>
        </w:rPr>
      </w:pPr>
      <w:r w:rsidRPr="00AA0377">
        <w:rPr>
          <w:rFonts w:ascii="Times New Roman" w:eastAsia="Calibri" w:hAnsi="Times New Roman" w:cs="Times New Roman"/>
          <w:sz w:val="24"/>
          <w:szCs w:val="24"/>
          <w:lang w:val="en-US"/>
        </w:rPr>
        <w:t xml:space="preserve">bonds of Russian issuers in Russian </w:t>
      </w:r>
      <w:proofErr w:type="spellStart"/>
      <w:r w:rsidRPr="00AA0377">
        <w:rPr>
          <w:rFonts w:ascii="Times New Roman" w:eastAsia="Calibri" w:hAnsi="Times New Roman" w:cs="Times New Roman"/>
          <w:sz w:val="24"/>
          <w:szCs w:val="24"/>
          <w:lang w:val="en-US"/>
        </w:rPr>
        <w:t>roubles</w:t>
      </w:r>
      <w:proofErr w:type="spellEnd"/>
      <w:r w:rsidRPr="00AA0377">
        <w:rPr>
          <w:rFonts w:ascii="Times New Roman" w:eastAsia="Calibri" w:hAnsi="Times New Roman" w:cs="Times New Roman"/>
          <w:sz w:val="24"/>
          <w:szCs w:val="24"/>
          <w:lang w:val="en-US"/>
        </w:rPr>
        <w:t xml:space="preserve"> – 56,872.163 million </w:t>
      </w:r>
      <w:proofErr w:type="spellStart"/>
      <w:r w:rsidRPr="00AA0377">
        <w:rPr>
          <w:rFonts w:ascii="Times New Roman" w:eastAsia="Calibri" w:hAnsi="Times New Roman" w:cs="Times New Roman"/>
          <w:sz w:val="24"/>
          <w:szCs w:val="24"/>
          <w:lang w:val="en-US"/>
        </w:rPr>
        <w:t>roubles</w:t>
      </w:r>
      <w:proofErr w:type="spellEnd"/>
      <w:r w:rsidRPr="00AA0377">
        <w:rPr>
          <w:rFonts w:ascii="Times New Roman" w:eastAsia="Calibri" w:hAnsi="Times New Roman" w:cs="Times New Roman"/>
          <w:sz w:val="24"/>
          <w:szCs w:val="24"/>
          <w:lang w:val="en-US"/>
        </w:rPr>
        <w:t>;</w:t>
      </w:r>
    </w:p>
    <w:p w:rsidR="00AA0377" w:rsidRPr="00AA0377" w:rsidRDefault="00AA0377" w:rsidP="00472CA4">
      <w:pPr>
        <w:widowControl w:val="0"/>
        <w:numPr>
          <w:ilvl w:val="0"/>
          <w:numId w:val="31"/>
        </w:numPr>
        <w:autoSpaceDE w:val="0"/>
        <w:autoSpaceDN w:val="0"/>
        <w:adjustRightInd w:val="0"/>
        <w:spacing w:after="120" w:line="240" w:lineRule="auto"/>
        <w:ind w:left="1417" w:hanging="567"/>
        <w:contextualSpacing/>
        <w:jc w:val="both"/>
        <w:rPr>
          <w:rFonts w:ascii="Times New Roman" w:eastAsia="Calibri" w:hAnsi="Times New Roman" w:cs="Times New Roman"/>
          <w:sz w:val="24"/>
          <w:szCs w:val="24"/>
          <w:lang w:val="en-US"/>
        </w:rPr>
      </w:pPr>
      <w:r w:rsidRPr="00AA0377">
        <w:rPr>
          <w:rFonts w:ascii="Times New Roman" w:eastAsia="Calibri" w:hAnsi="Times New Roman" w:cs="Times New Roman"/>
          <w:sz w:val="24"/>
          <w:szCs w:val="24"/>
          <w:lang w:val="en-US"/>
        </w:rPr>
        <w:t>bonds of Russian issuers in US dollars – 7.569 million US dollars;</w:t>
      </w:r>
    </w:p>
    <w:p w:rsidR="00AA0377" w:rsidRPr="00AA0377" w:rsidRDefault="00AA0377" w:rsidP="00472CA4">
      <w:pPr>
        <w:widowControl w:val="0"/>
        <w:numPr>
          <w:ilvl w:val="0"/>
          <w:numId w:val="31"/>
        </w:numPr>
        <w:autoSpaceDE w:val="0"/>
        <w:autoSpaceDN w:val="0"/>
        <w:adjustRightInd w:val="0"/>
        <w:spacing w:after="120" w:line="240" w:lineRule="auto"/>
        <w:ind w:left="1417" w:hanging="567"/>
        <w:contextualSpacing/>
        <w:jc w:val="both"/>
        <w:rPr>
          <w:rFonts w:ascii="Times New Roman" w:eastAsia="Calibri" w:hAnsi="Times New Roman" w:cs="Times New Roman"/>
          <w:bCs/>
          <w:sz w:val="24"/>
          <w:szCs w:val="24"/>
          <w:lang w:val="en-US"/>
        </w:rPr>
      </w:pPr>
      <w:proofErr w:type="gramStart"/>
      <w:r w:rsidRPr="00AA0377">
        <w:rPr>
          <w:rFonts w:ascii="Times New Roman" w:eastAsia="Calibri" w:hAnsi="Times New Roman" w:cs="Times New Roman"/>
          <w:bCs/>
          <w:sz w:val="24"/>
          <w:szCs w:val="24"/>
          <w:lang w:val="en-US"/>
        </w:rPr>
        <w:t>bonds</w:t>
      </w:r>
      <w:proofErr w:type="gramEnd"/>
      <w:r w:rsidRPr="00AA0377">
        <w:rPr>
          <w:rFonts w:ascii="Times New Roman" w:eastAsia="Calibri" w:hAnsi="Times New Roman" w:cs="Times New Roman"/>
          <w:bCs/>
          <w:sz w:val="24"/>
          <w:szCs w:val="24"/>
          <w:lang w:val="en-US"/>
        </w:rPr>
        <w:t xml:space="preserve"> issued by non-resident of the Russian Federation legal bodies outside the borders of the Russian Federation </w:t>
      </w:r>
      <w:r w:rsidRPr="00AA0377">
        <w:rPr>
          <w:rFonts w:ascii="Times New Roman" w:eastAsia="Calibri" w:hAnsi="Times New Roman" w:cs="Times New Roman"/>
          <w:sz w:val="24"/>
          <w:szCs w:val="24"/>
          <w:lang w:val="en-US"/>
        </w:rPr>
        <w:t>in US dollars</w:t>
      </w:r>
      <w:r w:rsidRPr="00AA0377">
        <w:rPr>
          <w:rFonts w:ascii="Times New Roman" w:eastAsia="Calibri" w:hAnsi="Times New Roman" w:cs="Times New Roman"/>
          <w:bCs/>
          <w:sz w:val="24"/>
          <w:szCs w:val="24"/>
          <w:lang w:val="en-US"/>
        </w:rPr>
        <w:t xml:space="preserve"> – 121.436 million </w:t>
      </w:r>
      <w:r w:rsidRPr="00AA0377">
        <w:rPr>
          <w:rFonts w:ascii="Times New Roman" w:eastAsia="Calibri" w:hAnsi="Times New Roman" w:cs="Times New Roman"/>
          <w:sz w:val="24"/>
          <w:szCs w:val="24"/>
          <w:lang w:val="en-US"/>
        </w:rPr>
        <w:t>US dollars</w:t>
      </w:r>
      <w:r w:rsidRPr="00AA0377">
        <w:rPr>
          <w:rFonts w:ascii="Times New Roman" w:eastAsia="Calibri" w:hAnsi="Times New Roman" w:cs="Times New Roman"/>
          <w:bCs/>
          <w:sz w:val="24"/>
          <w:szCs w:val="24"/>
          <w:lang w:val="en-US"/>
        </w:rPr>
        <w:t>.</w:t>
      </w:r>
    </w:p>
    <w:p w:rsidR="00AA0377" w:rsidRPr="00AA0377" w:rsidRDefault="00AA0377" w:rsidP="00AA0377">
      <w:pPr>
        <w:widowControl w:val="0"/>
        <w:autoSpaceDE w:val="0"/>
        <w:autoSpaceDN w:val="0"/>
        <w:adjustRightInd w:val="0"/>
        <w:spacing w:after="120" w:line="240" w:lineRule="auto"/>
        <w:ind w:firstLine="567"/>
        <w:jc w:val="both"/>
        <w:rPr>
          <w:rFonts w:ascii="Times New Roman" w:eastAsia="Calibri" w:hAnsi="Times New Roman" w:cs="Times New Roman"/>
          <w:bCs/>
          <w:sz w:val="24"/>
          <w:szCs w:val="24"/>
          <w:lang w:val="en-US"/>
        </w:rPr>
      </w:pPr>
    </w:p>
    <w:p w:rsidR="00AA0377" w:rsidRDefault="00AA0377" w:rsidP="00AA0377">
      <w:pPr>
        <w:widowControl w:val="0"/>
        <w:autoSpaceDE w:val="0"/>
        <w:autoSpaceDN w:val="0"/>
        <w:adjustRightInd w:val="0"/>
        <w:spacing w:after="120" w:line="240" w:lineRule="auto"/>
        <w:ind w:firstLine="567"/>
        <w:jc w:val="both"/>
        <w:rPr>
          <w:rFonts w:ascii="Times New Roman" w:eastAsia="Calibri" w:hAnsi="Times New Roman" w:cs="Times New Roman"/>
          <w:sz w:val="24"/>
          <w:szCs w:val="24"/>
          <w:lang w:val="en-US"/>
        </w:rPr>
      </w:pPr>
      <w:r w:rsidRPr="00AA0377">
        <w:rPr>
          <w:rFonts w:ascii="Times New Roman" w:eastAsia="Calibri" w:hAnsi="Times New Roman" w:cs="Times New Roman"/>
          <w:sz w:val="24"/>
          <w:szCs w:val="24"/>
          <w:lang w:val="en-US"/>
        </w:rPr>
        <w:t xml:space="preserve">As of 01.01.2014, NCC did not own </w:t>
      </w:r>
      <w:r w:rsidRPr="00AA0377">
        <w:rPr>
          <w:rFonts w:ascii="Times New Roman" w:eastAsia="Calibri" w:hAnsi="Times New Roman" w:cs="Times New Roman"/>
          <w:bCs/>
          <w:sz w:val="24"/>
          <w:szCs w:val="24"/>
          <w:lang w:val="en-US"/>
        </w:rPr>
        <w:t>collateral assets, as well as assets restricted for use as collateral</w:t>
      </w:r>
      <w:r w:rsidRPr="00AA0377">
        <w:rPr>
          <w:rFonts w:ascii="Times New Roman" w:eastAsia="Calibri" w:hAnsi="Times New Roman" w:cs="Times New Roman"/>
          <w:sz w:val="24"/>
          <w:szCs w:val="24"/>
          <w:lang w:val="en-US"/>
        </w:rPr>
        <w:t>.</w:t>
      </w:r>
    </w:p>
    <w:p w:rsidR="009B23BD" w:rsidRDefault="009B23BD" w:rsidP="00AA0377">
      <w:pPr>
        <w:widowControl w:val="0"/>
        <w:autoSpaceDE w:val="0"/>
        <w:autoSpaceDN w:val="0"/>
        <w:adjustRightInd w:val="0"/>
        <w:spacing w:after="120" w:line="240" w:lineRule="auto"/>
        <w:ind w:firstLine="567"/>
        <w:jc w:val="both"/>
        <w:rPr>
          <w:rFonts w:ascii="Times New Roman" w:eastAsia="Calibri" w:hAnsi="Times New Roman" w:cs="Times New Roman"/>
          <w:sz w:val="24"/>
          <w:szCs w:val="24"/>
          <w:lang w:val="en-US"/>
        </w:rPr>
      </w:pPr>
    </w:p>
    <w:p w:rsidR="009B23BD" w:rsidRDefault="009B23BD" w:rsidP="009B23BD">
      <w:pPr>
        <w:pStyle w:val="af0"/>
        <w:keepNext/>
        <w:widowControl w:val="0"/>
        <w:overflowPunct w:val="0"/>
        <w:autoSpaceDE w:val="0"/>
        <w:autoSpaceDN w:val="0"/>
        <w:adjustRightInd w:val="0"/>
        <w:spacing w:before="100" w:after="120" w:line="240" w:lineRule="auto"/>
        <w:ind w:left="360"/>
        <w:textAlignment w:val="baseline"/>
        <w:outlineLvl w:val="0"/>
        <w:rPr>
          <w:rFonts w:ascii="Times New Roman" w:eastAsia="Times New Roman" w:hAnsi="Times New Roman" w:cs="Times New Roman"/>
          <w:b/>
          <w:bCs/>
          <w:kern w:val="32"/>
          <w:sz w:val="28"/>
          <w:szCs w:val="28"/>
          <w:lang w:val="en-US" w:eastAsia="ru-RU"/>
        </w:rPr>
      </w:pPr>
      <w:r>
        <w:rPr>
          <w:rFonts w:ascii="Times New Roman" w:eastAsia="Times New Roman" w:hAnsi="Times New Roman" w:cs="Times New Roman"/>
          <w:b/>
          <w:bCs/>
          <w:kern w:val="32"/>
          <w:sz w:val="28"/>
          <w:szCs w:val="28"/>
          <w:lang w:val="en-US" w:eastAsia="ru-RU"/>
        </w:rPr>
        <w:t>7.</w:t>
      </w:r>
      <w:r w:rsidR="00796C4D">
        <w:rPr>
          <w:rFonts w:ascii="Times New Roman" w:eastAsia="Times New Roman" w:hAnsi="Times New Roman" w:cs="Times New Roman"/>
          <w:b/>
          <w:bCs/>
          <w:kern w:val="32"/>
          <w:sz w:val="28"/>
          <w:szCs w:val="28"/>
          <w:lang w:val="en-US" w:eastAsia="ru-RU"/>
        </w:rPr>
        <w:t xml:space="preserve"> </w:t>
      </w:r>
      <w:bookmarkStart w:id="6" w:name="_Toc391636105"/>
      <w:r w:rsidRPr="009B23BD">
        <w:rPr>
          <w:rFonts w:ascii="Times New Roman" w:eastAsia="Times New Roman" w:hAnsi="Times New Roman" w:cs="Times New Roman"/>
          <w:b/>
          <w:bCs/>
          <w:kern w:val="32"/>
          <w:sz w:val="28"/>
          <w:szCs w:val="28"/>
          <w:lang w:val="en-US" w:eastAsia="ru-RU"/>
        </w:rPr>
        <w:t>Risk Management, Including Measures Aimed at Providing Quality Management of NCC as CCP</w:t>
      </w:r>
      <w:bookmarkEnd w:id="6"/>
    </w:p>
    <w:p w:rsidR="00D55472" w:rsidRDefault="00D55472" w:rsidP="009B23BD">
      <w:pPr>
        <w:pStyle w:val="af0"/>
        <w:keepNext/>
        <w:widowControl w:val="0"/>
        <w:overflowPunct w:val="0"/>
        <w:autoSpaceDE w:val="0"/>
        <w:autoSpaceDN w:val="0"/>
        <w:adjustRightInd w:val="0"/>
        <w:spacing w:before="100" w:after="120" w:line="240" w:lineRule="auto"/>
        <w:ind w:left="360"/>
        <w:textAlignment w:val="baseline"/>
        <w:outlineLvl w:val="0"/>
        <w:rPr>
          <w:rFonts w:ascii="Times New Roman" w:eastAsia="Times New Roman" w:hAnsi="Times New Roman" w:cs="Times New Roman"/>
          <w:b/>
          <w:bCs/>
          <w:kern w:val="32"/>
          <w:sz w:val="28"/>
          <w:szCs w:val="28"/>
          <w:lang w:val="en-US" w:eastAsia="ru-RU"/>
        </w:rPr>
      </w:pPr>
    </w:p>
    <w:p w:rsidR="00D55472" w:rsidRPr="0063061C" w:rsidRDefault="00D55472" w:rsidP="00472CA4">
      <w:pPr>
        <w:numPr>
          <w:ilvl w:val="0"/>
          <w:numId w:val="50"/>
        </w:numPr>
        <w:spacing w:before="100" w:after="120" w:line="240" w:lineRule="auto"/>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R</w:t>
      </w:r>
      <w:r w:rsidRPr="0063061C">
        <w:rPr>
          <w:rFonts w:ascii="Times New Roman" w:eastAsia="Calibri" w:hAnsi="Times New Roman" w:cs="Times New Roman"/>
          <w:b/>
          <w:sz w:val="24"/>
          <w:szCs w:val="24"/>
          <w:lang w:val="en-US"/>
        </w:rPr>
        <w:t xml:space="preserve">isk management </w:t>
      </w:r>
      <w:r>
        <w:rPr>
          <w:rFonts w:ascii="Times New Roman" w:eastAsia="Calibri" w:hAnsi="Times New Roman" w:cs="Times New Roman"/>
          <w:b/>
          <w:sz w:val="24"/>
          <w:szCs w:val="24"/>
          <w:lang w:val="en-US"/>
        </w:rPr>
        <w:t>framework</w:t>
      </w:r>
      <w:r w:rsidRPr="0063061C">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compliance</w:t>
      </w:r>
      <w:r w:rsidRPr="0063061C">
        <w:rPr>
          <w:rFonts w:ascii="Times New Roman" w:eastAsia="Calibri" w:hAnsi="Times New Roman" w:cs="Times New Roman"/>
          <w:b/>
          <w:sz w:val="24"/>
          <w:szCs w:val="24"/>
          <w:lang w:val="en-US"/>
        </w:rPr>
        <w:t xml:space="preserve"> with the regulatory requirements and international standards</w:t>
      </w:r>
    </w:p>
    <w:p w:rsidR="00D55472" w:rsidRPr="0063061C" w:rsidRDefault="00D55472" w:rsidP="00D55472">
      <w:pPr>
        <w:spacing w:after="120" w:line="240" w:lineRule="auto"/>
        <w:ind w:firstLine="567"/>
        <w:jc w:val="both"/>
        <w:rPr>
          <w:rFonts w:ascii="Times New Roman" w:hAnsi="Times New Roman" w:cs="Times New Roman"/>
          <w:sz w:val="24"/>
          <w:szCs w:val="24"/>
          <w:lang w:val="en-US"/>
        </w:rPr>
      </w:pPr>
      <w:r w:rsidRPr="0063061C">
        <w:rPr>
          <w:rFonts w:ascii="Times New Roman" w:hAnsi="Times New Roman" w:cs="Times New Roman"/>
          <w:sz w:val="24"/>
          <w:szCs w:val="24"/>
          <w:lang w:val="en-US"/>
        </w:rPr>
        <w:t xml:space="preserve">NCC, functioning as an </w:t>
      </w:r>
      <w:r w:rsidRPr="0063061C">
        <w:rPr>
          <w:rFonts w:ascii="Times New Roman" w:eastAsia="Calibri" w:hAnsi="Times New Roman" w:cs="Times New Roman"/>
          <w:sz w:val="24"/>
          <w:szCs w:val="24"/>
          <w:lang w:val="en-US"/>
        </w:rPr>
        <w:t>assurer of financial stability</w:t>
      </w:r>
      <w:r w:rsidRPr="0063061C">
        <w:rPr>
          <w:rFonts w:ascii="Times New Roman" w:hAnsi="Times New Roman" w:cs="Times New Roman"/>
          <w:sz w:val="24"/>
          <w:szCs w:val="24"/>
          <w:lang w:val="en-US"/>
        </w:rPr>
        <w:t xml:space="preserve"> on markets of the Moscow Exchange Group, performs its activities using </w:t>
      </w:r>
      <w:r>
        <w:rPr>
          <w:rFonts w:ascii="Times New Roman" w:hAnsi="Times New Roman" w:cs="Times New Roman"/>
          <w:sz w:val="24"/>
          <w:szCs w:val="24"/>
          <w:lang w:val="en-US"/>
        </w:rPr>
        <w:t>an up-to-date</w:t>
      </w:r>
      <w:r w:rsidRPr="0063061C">
        <w:rPr>
          <w:rFonts w:ascii="Times New Roman" w:hAnsi="Times New Roman" w:cs="Times New Roman"/>
          <w:sz w:val="24"/>
          <w:szCs w:val="24"/>
          <w:lang w:val="en-US"/>
        </w:rPr>
        <w:t xml:space="preserve"> risk management </w:t>
      </w:r>
      <w:r>
        <w:rPr>
          <w:rFonts w:ascii="Times New Roman" w:hAnsi="Times New Roman" w:cs="Times New Roman"/>
          <w:sz w:val="24"/>
          <w:szCs w:val="24"/>
          <w:lang w:val="en-US"/>
        </w:rPr>
        <w:t xml:space="preserve">framework </w:t>
      </w:r>
      <w:r w:rsidRPr="0063061C">
        <w:rPr>
          <w:rFonts w:ascii="Times New Roman" w:hAnsi="Times New Roman" w:cs="Times New Roman"/>
          <w:sz w:val="24"/>
          <w:szCs w:val="24"/>
          <w:lang w:val="en-US"/>
        </w:rPr>
        <w:t>(RM</w:t>
      </w:r>
      <w:r>
        <w:rPr>
          <w:rFonts w:ascii="Times New Roman" w:hAnsi="Times New Roman" w:cs="Times New Roman"/>
          <w:sz w:val="24"/>
          <w:szCs w:val="24"/>
          <w:lang w:val="en-US"/>
        </w:rPr>
        <w:t>F</w:t>
      </w:r>
      <w:r w:rsidRPr="0063061C">
        <w:rPr>
          <w:rFonts w:ascii="Times New Roman" w:hAnsi="Times New Roman" w:cs="Times New Roman"/>
          <w:sz w:val="24"/>
          <w:szCs w:val="24"/>
          <w:lang w:val="en-US"/>
        </w:rPr>
        <w:t>) complying with the international standards</w:t>
      </w:r>
      <w:r>
        <w:rPr>
          <w:rFonts w:ascii="Times New Roman" w:hAnsi="Times New Roman" w:cs="Times New Roman"/>
          <w:sz w:val="24"/>
          <w:szCs w:val="24"/>
          <w:lang w:val="en-US"/>
        </w:rPr>
        <w:t>,</w:t>
      </w:r>
      <w:r w:rsidRPr="0063061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w:t>
      </w:r>
      <w:r w:rsidRPr="0063061C">
        <w:rPr>
          <w:rFonts w:ascii="Times New Roman" w:hAnsi="Times New Roman" w:cs="Times New Roman"/>
          <w:sz w:val="24"/>
          <w:szCs w:val="24"/>
          <w:lang w:val="en-US"/>
        </w:rPr>
        <w:t xml:space="preserve">provides clearing services to the participants </w:t>
      </w:r>
      <w:r>
        <w:rPr>
          <w:rFonts w:ascii="Times New Roman" w:hAnsi="Times New Roman" w:cs="Times New Roman"/>
          <w:sz w:val="24"/>
          <w:szCs w:val="24"/>
          <w:lang w:val="en-US"/>
        </w:rPr>
        <w:t xml:space="preserve">allowing to manage </w:t>
      </w:r>
      <w:r w:rsidRPr="0063061C">
        <w:rPr>
          <w:rFonts w:ascii="Times New Roman" w:eastAsia="Times New Roman" w:hAnsi="Times New Roman" w:cs="Times New Roman"/>
          <w:sz w:val="24"/>
          <w:szCs w:val="24"/>
          <w:lang w:val="en-US" w:eastAsia="ru-RU"/>
        </w:rPr>
        <w:t>efficient</w:t>
      </w:r>
      <w:r>
        <w:rPr>
          <w:rFonts w:ascii="Times New Roman" w:eastAsia="Times New Roman" w:hAnsi="Times New Roman" w:cs="Times New Roman"/>
          <w:sz w:val="24"/>
          <w:szCs w:val="24"/>
          <w:lang w:val="en-US" w:eastAsia="ru-RU"/>
        </w:rPr>
        <w:t>ly</w:t>
      </w:r>
      <w:r w:rsidRPr="0063061C">
        <w:rPr>
          <w:rFonts w:ascii="Times New Roman" w:hAnsi="Times New Roman" w:cs="Times New Roman"/>
          <w:sz w:val="24"/>
          <w:szCs w:val="24"/>
          <w:lang w:val="en-US"/>
        </w:rPr>
        <w:t xml:space="preserve"> </w:t>
      </w:r>
      <w:r>
        <w:rPr>
          <w:rFonts w:ascii="Times New Roman" w:hAnsi="Times New Roman" w:cs="Times New Roman"/>
          <w:sz w:val="24"/>
          <w:szCs w:val="24"/>
          <w:lang w:val="en-US"/>
        </w:rPr>
        <w:t>their</w:t>
      </w:r>
      <w:r w:rsidRPr="0063061C">
        <w:rPr>
          <w:rFonts w:ascii="Times New Roman" w:hAnsi="Times New Roman" w:cs="Times New Roman"/>
          <w:sz w:val="24"/>
          <w:szCs w:val="24"/>
          <w:lang w:val="en-US"/>
        </w:rPr>
        <w:t xml:space="preserve"> funds </w:t>
      </w:r>
      <w:r>
        <w:rPr>
          <w:rFonts w:ascii="Times New Roman" w:hAnsi="Times New Roman" w:cs="Times New Roman"/>
          <w:sz w:val="24"/>
          <w:szCs w:val="24"/>
          <w:lang w:val="en-US"/>
        </w:rPr>
        <w:t xml:space="preserve">using </w:t>
      </w:r>
      <w:r w:rsidRPr="0063061C">
        <w:rPr>
          <w:rFonts w:ascii="Times New Roman" w:hAnsi="Times New Roman" w:cs="Times New Roman"/>
          <w:sz w:val="24"/>
          <w:szCs w:val="24"/>
          <w:lang w:val="en-US"/>
        </w:rPr>
        <w:t>Moscow Exchange</w:t>
      </w:r>
      <w:r w:rsidDel="0049582F">
        <w:rPr>
          <w:rFonts w:ascii="Times New Roman" w:hAnsi="Times New Roman" w:cs="Times New Roman"/>
          <w:sz w:val="24"/>
          <w:szCs w:val="24"/>
          <w:lang w:val="en-US"/>
        </w:rPr>
        <w:t xml:space="preserve"> </w:t>
      </w:r>
      <w:r w:rsidRPr="0063061C">
        <w:rPr>
          <w:rFonts w:ascii="Times New Roman" w:hAnsi="Times New Roman" w:cs="Times New Roman"/>
          <w:sz w:val="24"/>
          <w:szCs w:val="24"/>
          <w:lang w:val="en-US"/>
        </w:rPr>
        <w:t>market</w:t>
      </w:r>
      <w:r>
        <w:rPr>
          <w:rFonts w:ascii="Times New Roman" w:hAnsi="Times New Roman" w:cs="Times New Roman"/>
          <w:sz w:val="24"/>
          <w:szCs w:val="24"/>
          <w:lang w:val="en-US"/>
        </w:rPr>
        <w:t>s</w:t>
      </w:r>
      <w:r w:rsidRPr="0063061C">
        <w:rPr>
          <w:rFonts w:ascii="Times New Roman" w:hAnsi="Times New Roman" w:cs="Times New Roman"/>
          <w:sz w:val="24"/>
          <w:szCs w:val="24"/>
          <w:lang w:val="en-US"/>
        </w:rPr>
        <w:t xml:space="preserve">. The main risks NCC faces are economic (credit, market </w:t>
      </w:r>
      <w:r>
        <w:rPr>
          <w:rFonts w:ascii="Times New Roman" w:hAnsi="Times New Roman" w:cs="Times New Roman"/>
          <w:sz w:val="24"/>
          <w:szCs w:val="24"/>
          <w:lang w:val="en-US"/>
        </w:rPr>
        <w:t xml:space="preserve">and </w:t>
      </w:r>
      <w:r w:rsidRPr="0063061C">
        <w:rPr>
          <w:rFonts w:ascii="Times New Roman" w:hAnsi="Times New Roman" w:cs="Times New Roman"/>
          <w:sz w:val="24"/>
          <w:szCs w:val="24"/>
          <w:lang w:val="en-US"/>
        </w:rPr>
        <w:t>liquidity)</w:t>
      </w:r>
      <w:r>
        <w:rPr>
          <w:rFonts w:ascii="Times New Roman" w:hAnsi="Times New Roman" w:cs="Times New Roman"/>
          <w:sz w:val="24"/>
          <w:szCs w:val="24"/>
          <w:lang w:val="en-US"/>
        </w:rPr>
        <w:t xml:space="preserve"> risks</w:t>
      </w:r>
      <w:r w:rsidRPr="0063061C">
        <w:rPr>
          <w:rFonts w:ascii="Times New Roman" w:hAnsi="Times New Roman" w:cs="Times New Roman"/>
          <w:sz w:val="24"/>
          <w:szCs w:val="24"/>
          <w:lang w:val="en-US"/>
        </w:rPr>
        <w:t>, operational, legal and reputational</w:t>
      </w:r>
      <w:r>
        <w:rPr>
          <w:rFonts w:ascii="Times New Roman" w:hAnsi="Times New Roman" w:cs="Times New Roman"/>
          <w:sz w:val="24"/>
          <w:szCs w:val="24"/>
          <w:lang w:val="en-US"/>
        </w:rPr>
        <w:t xml:space="preserve"> risks</w:t>
      </w:r>
      <w:r w:rsidRPr="0063061C">
        <w:rPr>
          <w:rFonts w:ascii="Times New Roman" w:hAnsi="Times New Roman" w:cs="Times New Roman"/>
          <w:sz w:val="24"/>
          <w:szCs w:val="24"/>
          <w:lang w:val="en-US"/>
        </w:rPr>
        <w:t>.</w:t>
      </w:r>
    </w:p>
    <w:p w:rsidR="00D55472" w:rsidRPr="0063061C" w:rsidRDefault="00D55472" w:rsidP="00D55472">
      <w:pPr>
        <w:spacing w:after="12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Pr="0063061C">
        <w:rPr>
          <w:rFonts w:ascii="Times New Roman" w:hAnsi="Times New Roman" w:cs="Times New Roman"/>
          <w:sz w:val="24"/>
          <w:szCs w:val="24"/>
          <w:lang w:val="en-US"/>
        </w:rPr>
        <w:t>conomic risk management</w:t>
      </w:r>
      <w:r>
        <w:rPr>
          <w:rFonts w:ascii="Times New Roman" w:hAnsi="Times New Roman" w:cs="Times New Roman"/>
          <w:sz w:val="24"/>
          <w:szCs w:val="24"/>
          <w:lang w:val="en-US"/>
        </w:rPr>
        <w:t xml:space="preserve"> framework</w:t>
      </w:r>
      <w:r w:rsidRPr="0063061C">
        <w:rPr>
          <w:rFonts w:ascii="Times New Roman" w:hAnsi="Times New Roman" w:cs="Times New Roman"/>
          <w:b/>
          <w:sz w:val="24"/>
          <w:szCs w:val="24"/>
          <w:lang w:val="en-US"/>
        </w:rPr>
        <w:t xml:space="preserve"> </w:t>
      </w:r>
      <w:r w:rsidRPr="0034203F">
        <w:rPr>
          <w:rFonts w:ascii="Times New Roman" w:hAnsi="Times New Roman" w:cs="Times New Roman"/>
          <w:sz w:val="24"/>
          <w:szCs w:val="24"/>
          <w:lang w:val="en-US"/>
        </w:rPr>
        <w:t>in</w:t>
      </w:r>
      <w:r>
        <w:rPr>
          <w:rFonts w:ascii="Times New Roman" w:hAnsi="Times New Roman" w:cs="Times New Roman"/>
          <w:sz w:val="24"/>
          <w:szCs w:val="24"/>
          <w:lang w:val="en-US"/>
        </w:rPr>
        <w:t xml:space="preserve"> </w:t>
      </w:r>
      <w:r w:rsidRPr="0063061C">
        <w:rPr>
          <w:rFonts w:ascii="Times New Roman" w:hAnsi="Times New Roman" w:cs="Times New Roman"/>
          <w:sz w:val="24"/>
          <w:szCs w:val="24"/>
          <w:lang w:val="en-US"/>
        </w:rPr>
        <w:t>NCC as a central counterparty on the Moscow Exchange Group market</w:t>
      </w:r>
      <w:r>
        <w:rPr>
          <w:rFonts w:ascii="Times New Roman" w:hAnsi="Times New Roman" w:cs="Times New Roman"/>
          <w:sz w:val="24"/>
          <w:szCs w:val="24"/>
          <w:lang w:val="en-US"/>
        </w:rPr>
        <w:t>s</w:t>
      </w:r>
      <w:r w:rsidRPr="0063061C">
        <w:rPr>
          <w:rFonts w:ascii="Times New Roman" w:hAnsi="Times New Roman" w:cs="Times New Roman"/>
          <w:sz w:val="24"/>
          <w:szCs w:val="24"/>
          <w:lang w:val="en-US"/>
        </w:rPr>
        <w:t xml:space="preserve"> consists of </w:t>
      </w:r>
      <w:r w:rsidR="00796C4D">
        <w:rPr>
          <w:rFonts w:ascii="Times New Roman" w:hAnsi="Times New Roman" w:cs="Times New Roman"/>
          <w:sz w:val="24"/>
          <w:szCs w:val="24"/>
          <w:lang w:val="en-US"/>
        </w:rPr>
        <w:t xml:space="preserve">the </w:t>
      </w:r>
      <w:r w:rsidRPr="0063061C">
        <w:rPr>
          <w:rFonts w:ascii="Times New Roman" w:hAnsi="Times New Roman" w:cs="Times New Roman"/>
          <w:sz w:val="24"/>
          <w:szCs w:val="24"/>
          <w:lang w:val="en-US"/>
        </w:rPr>
        <w:t xml:space="preserve">requirements applied to clearing participants and collateral </w:t>
      </w:r>
      <w:r>
        <w:rPr>
          <w:rFonts w:ascii="Times New Roman" w:hAnsi="Times New Roman" w:cs="Times New Roman"/>
          <w:sz w:val="24"/>
          <w:szCs w:val="24"/>
          <w:lang w:val="en-US"/>
        </w:rPr>
        <w:t>to cover</w:t>
      </w:r>
      <w:r w:rsidRPr="0063061C">
        <w:rPr>
          <w:rFonts w:ascii="Times New Roman" w:hAnsi="Times New Roman" w:cs="Times New Roman"/>
          <w:sz w:val="24"/>
          <w:szCs w:val="24"/>
          <w:lang w:val="en-US"/>
        </w:rPr>
        <w:t xml:space="preserve"> potential losses, if the participants fail to fulfill their obligations</w:t>
      </w:r>
      <w:r>
        <w:rPr>
          <w:rFonts w:ascii="Times New Roman" w:hAnsi="Times New Roman" w:cs="Times New Roman"/>
          <w:sz w:val="24"/>
          <w:szCs w:val="24"/>
          <w:lang w:val="en-US"/>
        </w:rPr>
        <w:t xml:space="preserve"> on trades with CCP</w:t>
      </w:r>
      <w:r w:rsidRPr="0063061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collateral management </w:t>
      </w:r>
      <w:r w:rsidRPr="0063061C">
        <w:rPr>
          <w:rFonts w:ascii="Times New Roman" w:hAnsi="Times New Roman" w:cs="Times New Roman"/>
          <w:sz w:val="24"/>
          <w:szCs w:val="24"/>
          <w:lang w:val="en-US"/>
        </w:rPr>
        <w:t>system, as well as</w:t>
      </w:r>
      <w:r>
        <w:rPr>
          <w:rFonts w:ascii="Times New Roman" w:hAnsi="Times New Roman" w:cs="Times New Roman"/>
          <w:sz w:val="24"/>
          <w:szCs w:val="24"/>
          <w:lang w:val="en-US"/>
        </w:rPr>
        <w:t xml:space="preserve"> default management procedures</w:t>
      </w:r>
      <w:r w:rsidRPr="0063061C">
        <w:rPr>
          <w:rFonts w:ascii="Times New Roman" w:hAnsi="Times New Roman" w:cs="Times New Roman"/>
          <w:sz w:val="24"/>
          <w:szCs w:val="24"/>
          <w:lang w:val="en-US"/>
        </w:rPr>
        <w:t>.</w:t>
      </w:r>
    </w:p>
    <w:p w:rsidR="00D55472" w:rsidRPr="0063061C" w:rsidRDefault="00D55472" w:rsidP="00D55472">
      <w:pPr>
        <w:spacing w:after="120" w:line="240" w:lineRule="auto"/>
        <w:ind w:firstLine="567"/>
        <w:jc w:val="both"/>
        <w:rPr>
          <w:rFonts w:ascii="Times New Roman" w:hAnsi="Times New Roman" w:cs="Times New Roman"/>
          <w:sz w:val="24"/>
          <w:szCs w:val="24"/>
          <w:lang w:val="en-US"/>
        </w:rPr>
      </w:pPr>
      <w:r w:rsidRPr="0063061C">
        <w:rPr>
          <w:rFonts w:ascii="Times New Roman" w:hAnsi="Times New Roman" w:cs="Times New Roman"/>
          <w:sz w:val="24"/>
          <w:szCs w:val="24"/>
          <w:lang w:val="en-US"/>
        </w:rPr>
        <w:t xml:space="preserve">The main risk management instruments </w:t>
      </w:r>
      <w:r>
        <w:rPr>
          <w:rFonts w:ascii="Times New Roman" w:hAnsi="Times New Roman" w:cs="Times New Roman"/>
          <w:sz w:val="24"/>
          <w:szCs w:val="24"/>
          <w:lang w:val="en-US"/>
        </w:rPr>
        <w:t>used</w:t>
      </w:r>
      <w:r w:rsidRPr="0063061C">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63061C">
        <w:rPr>
          <w:rFonts w:ascii="Times New Roman" w:hAnsi="Times New Roman" w:cs="Times New Roman"/>
          <w:sz w:val="24"/>
          <w:szCs w:val="24"/>
          <w:lang w:val="en-US"/>
        </w:rPr>
        <w:t xml:space="preserve"> NCC as a central counterparty and clearing organization are </w:t>
      </w:r>
      <w:r>
        <w:rPr>
          <w:rFonts w:ascii="Times New Roman" w:hAnsi="Times New Roman" w:cs="Times New Roman"/>
          <w:sz w:val="24"/>
          <w:szCs w:val="24"/>
          <w:lang w:val="en-US"/>
        </w:rPr>
        <w:t>shown</w:t>
      </w:r>
      <w:r w:rsidRPr="0063061C">
        <w:rPr>
          <w:rFonts w:ascii="Times New Roman" w:hAnsi="Times New Roman" w:cs="Times New Roman"/>
          <w:sz w:val="24"/>
          <w:szCs w:val="24"/>
          <w:lang w:val="en-US"/>
        </w:rPr>
        <w:t xml:space="preserve"> in the following scheme:</w:t>
      </w:r>
    </w:p>
    <w:p w:rsidR="00D55472" w:rsidRPr="0063061C" w:rsidRDefault="00D55472" w:rsidP="00D55472">
      <w:pPr>
        <w:spacing w:after="120" w:line="240" w:lineRule="auto"/>
        <w:ind w:firstLine="567"/>
        <w:jc w:val="both"/>
        <w:rPr>
          <w:rFonts w:ascii="Times New Roman" w:hAnsi="Times New Roman" w:cs="Times New Roman"/>
          <w:sz w:val="24"/>
          <w:szCs w:val="24"/>
          <w:lang w:val="en-US"/>
        </w:rPr>
      </w:pPr>
    </w:p>
    <w:tbl>
      <w:tblPr>
        <w:tblStyle w:val="-2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ook w:val="04A0" w:firstRow="1" w:lastRow="0" w:firstColumn="1" w:lastColumn="0" w:noHBand="0" w:noVBand="1"/>
      </w:tblPr>
      <w:tblGrid>
        <w:gridCol w:w="3227"/>
        <w:gridCol w:w="6344"/>
      </w:tblGrid>
      <w:tr w:rsidR="00D55472" w:rsidRPr="009F55B7" w:rsidTr="005B48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27" w:type="dxa"/>
            <w:tcBorders>
              <w:top w:val="none" w:sz="0" w:space="0" w:color="auto"/>
              <w:left w:val="none" w:sz="0" w:space="0" w:color="auto"/>
              <w:bottom w:val="none" w:sz="0" w:space="0" w:color="auto"/>
              <w:right w:val="none" w:sz="0" w:space="0" w:color="auto"/>
            </w:tcBorders>
            <w:shd w:val="clear" w:color="auto" w:fill="C0504D" w:themeFill="accent2"/>
            <w:vAlign w:val="center"/>
          </w:tcPr>
          <w:p w:rsidR="00D55472" w:rsidRPr="0063061C" w:rsidRDefault="00D55472" w:rsidP="005B4876">
            <w:pPr>
              <w:spacing w:before="100" w:after="120"/>
              <w:jc w:val="center"/>
              <w:rPr>
                <w:rFonts w:ascii="Times New Roman" w:hAnsi="Times New Roman" w:cs="Times New Roman"/>
                <w:sz w:val="24"/>
                <w:szCs w:val="24"/>
                <w:lang w:val="en-US"/>
              </w:rPr>
            </w:pPr>
            <w:r w:rsidRPr="00953626">
              <w:rPr>
                <w:rFonts w:ascii="Times New Roman" w:hAnsi="Times New Roman" w:cs="Times New Roman"/>
                <w:color w:val="FFFFFF" w:themeColor="background1"/>
                <w:sz w:val="24"/>
                <w:szCs w:val="24"/>
                <w:lang w:val="en-US"/>
              </w:rPr>
              <w:t>Participation Requirements</w:t>
            </w:r>
            <w:r w:rsidRPr="0063061C">
              <w:rPr>
                <w:rFonts w:ascii="Times New Roman" w:hAnsi="Times New Roman" w:cs="Times New Roman"/>
                <w:sz w:val="24"/>
                <w:szCs w:val="24"/>
                <w:lang w:val="en-US"/>
              </w:rPr>
              <w:t xml:space="preserve"> </w:t>
            </w:r>
          </w:p>
        </w:tc>
        <w:tc>
          <w:tcPr>
            <w:tcW w:w="6344" w:type="dxa"/>
            <w:tcBorders>
              <w:top w:val="none" w:sz="0" w:space="0" w:color="auto"/>
              <w:left w:val="none" w:sz="0" w:space="0" w:color="auto"/>
              <w:bottom w:val="none" w:sz="0" w:space="0" w:color="auto"/>
              <w:right w:val="none" w:sz="0" w:space="0" w:color="auto"/>
            </w:tcBorders>
            <w:shd w:val="clear" w:color="auto" w:fill="F2DBDB" w:themeFill="accent2" w:themeFillTint="33"/>
          </w:tcPr>
          <w:p w:rsidR="00D55472" w:rsidRPr="00953626" w:rsidRDefault="00D55472" w:rsidP="00472CA4">
            <w:pPr>
              <w:numPr>
                <w:ilvl w:val="0"/>
                <w:numId w:val="51"/>
              </w:numPr>
              <w:spacing w:after="120" w:line="276" w:lineRule="auto"/>
              <w:ind w:left="459" w:hanging="425"/>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0"/>
                <w:szCs w:val="20"/>
                <w:lang w:val="en-US"/>
              </w:rPr>
            </w:pPr>
            <w:r w:rsidRPr="00EF75A4">
              <w:rPr>
                <w:rFonts w:ascii="Times New Roman" w:eastAsia="Calibri" w:hAnsi="Times New Roman" w:cs="Times New Roman"/>
                <w:b w:val="0"/>
                <w:sz w:val="20"/>
                <w:szCs w:val="20"/>
                <w:lang w:val="en-US"/>
              </w:rPr>
              <w:t>Clearing services</w:t>
            </w:r>
            <w:r w:rsidRPr="00C52F31">
              <w:rPr>
                <w:rFonts w:ascii="Times New Roman" w:eastAsia="Calibri" w:hAnsi="Times New Roman" w:cs="Times New Roman"/>
                <w:sz w:val="20"/>
                <w:szCs w:val="20"/>
                <w:lang w:val="en-US"/>
              </w:rPr>
              <w:t xml:space="preserve"> </w:t>
            </w:r>
            <w:r w:rsidRPr="00B237B1">
              <w:rPr>
                <w:rFonts w:ascii="Times New Roman" w:eastAsia="Calibri" w:hAnsi="Times New Roman" w:cs="Times New Roman"/>
                <w:b w:val="0"/>
                <w:sz w:val="20"/>
                <w:szCs w:val="20"/>
                <w:lang w:val="en-US"/>
              </w:rPr>
              <w:t xml:space="preserve">access requirements </w:t>
            </w:r>
          </w:p>
          <w:p w:rsidR="00D55472" w:rsidRPr="00EF75A4" w:rsidRDefault="00D55472" w:rsidP="00472CA4">
            <w:pPr>
              <w:numPr>
                <w:ilvl w:val="0"/>
                <w:numId w:val="51"/>
              </w:numPr>
              <w:spacing w:after="120"/>
              <w:ind w:left="459" w:hanging="425"/>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0"/>
                <w:szCs w:val="20"/>
                <w:lang w:val="en-US"/>
              </w:rPr>
            </w:pPr>
            <w:r w:rsidRPr="00EF75A4">
              <w:rPr>
                <w:rFonts w:ascii="Times New Roman" w:eastAsia="Calibri" w:hAnsi="Times New Roman" w:cs="Times New Roman"/>
                <w:b w:val="0"/>
                <w:sz w:val="20"/>
                <w:szCs w:val="20"/>
                <w:lang w:val="en-US"/>
              </w:rPr>
              <w:t>Evaluation and monitoring of clearing participants’</w:t>
            </w:r>
            <w:r w:rsidRPr="00EF75A4" w:rsidDel="00CE47EA">
              <w:rPr>
                <w:rFonts w:ascii="Times New Roman" w:eastAsia="Calibri" w:hAnsi="Times New Roman" w:cs="Times New Roman"/>
                <w:b w:val="0"/>
                <w:sz w:val="20"/>
                <w:szCs w:val="20"/>
                <w:lang w:val="en-US"/>
              </w:rPr>
              <w:t xml:space="preserve"> </w:t>
            </w:r>
            <w:r w:rsidRPr="00EF75A4">
              <w:rPr>
                <w:rFonts w:ascii="Times New Roman" w:eastAsia="Calibri" w:hAnsi="Times New Roman" w:cs="Times New Roman"/>
                <w:b w:val="0"/>
                <w:sz w:val="20"/>
                <w:szCs w:val="20"/>
                <w:lang w:val="en-US"/>
              </w:rPr>
              <w:t xml:space="preserve">financial conditions  </w:t>
            </w:r>
          </w:p>
        </w:tc>
      </w:tr>
      <w:tr w:rsidR="00D55472" w:rsidRPr="0063061C" w:rsidTr="005B4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bottom w:val="none" w:sz="0" w:space="0" w:color="auto"/>
              <w:right w:val="none" w:sz="0" w:space="0" w:color="auto"/>
            </w:tcBorders>
            <w:shd w:val="clear" w:color="auto" w:fill="C0504D" w:themeFill="accent2"/>
            <w:vAlign w:val="center"/>
          </w:tcPr>
          <w:p w:rsidR="00D55472" w:rsidRPr="0063061C" w:rsidRDefault="00D55472" w:rsidP="005B4876">
            <w:pPr>
              <w:spacing w:before="100" w:after="120"/>
              <w:jc w:val="center"/>
              <w:rPr>
                <w:rFonts w:ascii="Times New Roman" w:hAnsi="Times New Roman" w:cs="Times New Roman"/>
                <w:sz w:val="24"/>
                <w:szCs w:val="24"/>
                <w:lang w:val="en-US"/>
              </w:rPr>
            </w:pPr>
            <w:r w:rsidRPr="0063061C">
              <w:rPr>
                <w:rFonts w:ascii="Times New Roman" w:hAnsi="Times New Roman" w:cs="Times New Roman"/>
                <w:b/>
                <w:bCs/>
                <w:sz w:val="24"/>
                <w:szCs w:val="24"/>
                <w:lang w:val="en-US"/>
              </w:rPr>
              <w:t>Limits system</w:t>
            </w:r>
          </w:p>
        </w:tc>
        <w:tc>
          <w:tcPr>
            <w:tcW w:w="6344" w:type="dxa"/>
            <w:shd w:val="clear" w:color="auto" w:fill="F2DBDB" w:themeFill="accent2" w:themeFillTint="33"/>
          </w:tcPr>
          <w:p w:rsidR="00D55472" w:rsidRPr="0063061C" w:rsidRDefault="00D55472" w:rsidP="00472CA4">
            <w:pPr>
              <w:numPr>
                <w:ilvl w:val="0"/>
                <w:numId w:val="51"/>
              </w:numPr>
              <w:spacing w:after="120"/>
              <w:ind w:left="459" w:hanging="425"/>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63061C">
              <w:rPr>
                <w:rFonts w:ascii="Times New Roman" w:eastAsia="Calibri" w:hAnsi="Times New Roman" w:cs="Times New Roman"/>
                <w:bCs/>
                <w:sz w:val="20"/>
                <w:szCs w:val="20"/>
                <w:lang w:val="en-US"/>
              </w:rPr>
              <w:t xml:space="preserve">Limits </w:t>
            </w:r>
            <w:r>
              <w:rPr>
                <w:rFonts w:ascii="Times New Roman" w:eastAsia="Calibri" w:hAnsi="Times New Roman" w:cs="Times New Roman"/>
                <w:bCs/>
                <w:sz w:val="20"/>
                <w:szCs w:val="20"/>
                <w:lang w:val="en-US"/>
              </w:rPr>
              <w:t>for</w:t>
            </w:r>
            <w:r w:rsidRPr="0063061C">
              <w:rPr>
                <w:rFonts w:ascii="Times New Roman" w:eastAsia="Calibri" w:hAnsi="Times New Roman" w:cs="Times New Roman"/>
                <w:bCs/>
                <w:sz w:val="20"/>
                <w:szCs w:val="20"/>
                <w:lang w:val="en-US"/>
              </w:rPr>
              <w:t xml:space="preserve"> participants</w:t>
            </w:r>
          </w:p>
          <w:p w:rsidR="00D55472" w:rsidRPr="0063061C" w:rsidRDefault="00D55472" w:rsidP="00472CA4">
            <w:pPr>
              <w:numPr>
                <w:ilvl w:val="0"/>
                <w:numId w:val="51"/>
              </w:numPr>
              <w:spacing w:after="120"/>
              <w:ind w:left="459" w:hanging="425"/>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en-US"/>
              </w:rPr>
            </w:pPr>
            <w:r w:rsidRPr="0063061C">
              <w:rPr>
                <w:rFonts w:ascii="Times New Roman" w:eastAsia="Calibri" w:hAnsi="Times New Roman" w:cs="Times New Roman"/>
                <w:bCs/>
                <w:sz w:val="20"/>
                <w:szCs w:val="20"/>
                <w:lang w:val="en-US"/>
              </w:rPr>
              <w:t xml:space="preserve">Limits for currency/price </w:t>
            </w:r>
            <w:r w:rsidRPr="0043291D">
              <w:rPr>
                <w:rFonts w:ascii="Times New Roman" w:eastAsia="Calibri" w:hAnsi="Times New Roman" w:cs="Times New Roman"/>
                <w:bCs/>
                <w:sz w:val="20"/>
                <w:szCs w:val="20"/>
                <w:lang w:val="en-US"/>
              </w:rPr>
              <w:t>fluctuations</w:t>
            </w:r>
            <w:r w:rsidRPr="0043291D" w:rsidDel="0049582F">
              <w:rPr>
                <w:rFonts w:ascii="Times New Roman" w:eastAsia="Calibri" w:hAnsi="Times New Roman" w:cs="Times New Roman"/>
                <w:bCs/>
                <w:sz w:val="20"/>
                <w:szCs w:val="20"/>
                <w:lang w:val="en-US"/>
              </w:rPr>
              <w:t xml:space="preserve"> </w:t>
            </w:r>
          </w:p>
          <w:p w:rsidR="00D55472" w:rsidRPr="0063061C" w:rsidRDefault="00D55472" w:rsidP="00472CA4">
            <w:pPr>
              <w:numPr>
                <w:ilvl w:val="0"/>
                <w:numId w:val="51"/>
              </w:numPr>
              <w:spacing w:after="120"/>
              <w:ind w:left="459" w:hanging="425"/>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63061C">
              <w:rPr>
                <w:rFonts w:ascii="Times New Roman" w:eastAsia="Calibri" w:hAnsi="Times New Roman" w:cs="Times New Roman"/>
                <w:bCs/>
                <w:sz w:val="20"/>
                <w:szCs w:val="20"/>
                <w:lang w:val="en-US"/>
              </w:rPr>
              <w:t>Concentration limits</w:t>
            </w:r>
          </w:p>
        </w:tc>
      </w:tr>
      <w:tr w:rsidR="00D55472" w:rsidRPr="009F55B7" w:rsidTr="005B4876">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bottom w:val="none" w:sz="0" w:space="0" w:color="auto"/>
              <w:right w:val="none" w:sz="0" w:space="0" w:color="auto"/>
            </w:tcBorders>
            <w:shd w:val="clear" w:color="auto" w:fill="C0504D" w:themeFill="accent2"/>
            <w:vAlign w:val="center"/>
          </w:tcPr>
          <w:p w:rsidR="00D55472" w:rsidRPr="0063061C" w:rsidRDefault="00D55472" w:rsidP="005B4876">
            <w:pPr>
              <w:spacing w:before="100" w:after="12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Settlement system</w:t>
            </w:r>
          </w:p>
        </w:tc>
        <w:tc>
          <w:tcPr>
            <w:tcW w:w="6344" w:type="dxa"/>
            <w:shd w:val="clear" w:color="auto" w:fill="F2DBDB" w:themeFill="accent2" w:themeFillTint="33"/>
          </w:tcPr>
          <w:p w:rsidR="00D55472" w:rsidRPr="0063061C" w:rsidRDefault="00D55472" w:rsidP="00472CA4">
            <w:pPr>
              <w:numPr>
                <w:ilvl w:val="0"/>
                <w:numId w:val="51"/>
              </w:numPr>
              <w:spacing w:after="120"/>
              <w:ind w:left="459" w:hanging="425"/>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0"/>
                <w:szCs w:val="20"/>
                <w:lang w:val="en-US"/>
              </w:rPr>
            </w:pPr>
            <w:r w:rsidRPr="0063061C">
              <w:rPr>
                <w:rFonts w:ascii="Times New Roman" w:eastAsia="Calibri" w:hAnsi="Times New Roman" w:cs="Times New Roman"/>
                <w:bCs/>
                <w:sz w:val="20"/>
                <w:szCs w:val="20"/>
                <w:lang w:val="en-US"/>
              </w:rPr>
              <w:t>DVP/PVP</w:t>
            </w:r>
          </w:p>
          <w:p w:rsidR="00D55472" w:rsidRPr="0063061C" w:rsidRDefault="00D55472" w:rsidP="00472CA4">
            <w:pPr>
              <w:numPr>
                <w:ilvl w:val="0"/>
                <w:numId w:val="51"/>
              </w:numPr>
              <w:spacing w:after="120"/>
              <w:ind w:left="459" w:hanging="425"/>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0"/>
                <w:szCs w:val="20"/>
                <w:lang w:val="en-US"/>
              </w:rPr>
            </w:pPr>
            <w:r w:rsidRPr="0063061C">
              <w:rPr>
                <w:rFonts w:ascii="Times New Roman" w:eastAsia="Calibri" w:hAnsi="Times New Roman" w:cs="Times New Roman"/>
                <w:bCs/>
                <w:sz w:val="20"/>
                <w:szCs w:val="20"/>
                <w:lang w:val="en-US"/>
              </w:rPr>
              <w:t xml:space="preserve">Monitoring </w:t>
            </w:r>
            <w:r>
              <w:rPr>
                <w:rFonts w:ascii="Times New Roman" w:eastAsia="Calibri" w:hAnsi="Times New Roman" w:cs="Times New Roman"/>
                <w:bCs/>
                <w:sz w:val="20"/>
                <w:szCs w:val="20"/>
                <w:lang w:val="en-US"/>
              </w:rPr>
              <w:t>of settlement organization’ financial conditions</w:t>
            </w:r>
          </w:p>
        </w:tc>
      </w:tr>
      <w:tr w:rsidR="00D55472" w:rsidRPr="0063061C" w:rsidTr="005B4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bottom w:val="none" w:sz="0" w:space="0" w:color="auto"/>
              <w:right w:val="none" w:sz="0" w:space="0" w:color="auto"/>
            </w:tcBorders>
            <w:shd w:val="clear" w:color="auto" w:fill="C0504D" w:themeFill="accent2"/>
            <w:vAlign w:val="center"/>
          </w:tcPr>
          <w:p w:rsidR="00D55472" w:rsidRPr="0063061C" w:rsidRDefault="00D55472" w:rsidP="005B4876">
            <w:pPr>
              <w:spacing w:before="100" w:after="120"/>
              <w:jc w:val="center"/>
              <w:rPr>
                <w:rFonts w:ascii="Times New Roman" w:hAnsi="Times New Roman" w:cs="Times New Roman"/>
                <w:b/>
                <w:bCs/>
                <w:sz w:val="24"/>
                <w:szCs w:val="24"/>
                <w:lang w:val="en-US"/>
              </w:rPr>
            </w:pPr>
            <w:r w:rsidRPr="0063061C">
              <w:rPr>
                <w:rFonts w:ascii="Times New Roman" w:hAnsi="Times New Roman" w:cs="Times New Roman"/>
                <w:b/>
                <w:bCs/>
                <w:sz w:val="24"/>
                <w:szCs w:val="24"/>
                <w:lang w:val="en-US"/>
              </w:rPr>
              <w:t>Collateral</w:t>
            </w:r>
          </w:p>
        </w:tc>
        <w:tc>
          <w:tcPr>
            <w:tcW w:w="6344" w:type="dxa"/>
            <w:shd w:val="clear" w:color="auto" w:fill="F2DBDB" w:themeFill="accent2" w:themeFillTint="33"/>
          </w:tcPr>
          <w:p w:rsidR="00D55472" w:rsidRPr="0063061C" w:rsidRDefault="00D55472" w:rsidP="00472CA4">
            <w:pPr>
              <w:numPr>
                <w:ilvl w:val="0"/>
                <w:numId w:val="51"/>
              </w:numPr>
              <w:spacing w:after="120"/>
              <w:ind w:left="459" w:hanging="425"/>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Collateral p</w:t>
            </w:r>
            <w:r w:rsidRPr="0063061C">
              <w:rPr>
                <w:rFonts w:ascii="Times New Roman" w:eastAsia="Calibri" w:hAnsi="Times New Roman" w:cs="Times New Roman"/>
                <w:bCs/>
                <w:sz w:val="20"/>
                <w:szCs w:val="20"/>
                <w:lang w:val="en-US"/>
              </w:rPr>
              <w:t>re</w:t>
            </w:r>
            <w:r>
              <w:rPr>
                <w:rFonts w:ascii="Times New Roman" w:eastAsia="Calibri" w:hAnsi="Times New Roman" w:cs="Times New Roman"/>
                <w:bCs/>
                <w:sz w:val="20"/>
                <w:szCs w:val="20"/>
                <w:lang w:val="en-US"/>
              </w:rPr>
              <w:t>-</w:t>
            </w:r>
            <w:r w:rsidRPr="0063061C">
              <w:rPr>
                <w:rFonts w:ascii="Times New Roman" w:eastAsia="Calibri" w:hAnsi="Times New Roman" w:cs="Times New Roman"/>
                <w:bCs/>
                <w:sz w:val="20"/>
                <w:szCs w:val="20"/>
                <w:lang w:val="en-US"/>
              </w:rPr>
              <w:t xml:space="preserve">posting </w:t>
            </w:r>
          </w:p>
          <w:p w:rsidR="00D55472" w:rsidRPr="0063061C" w:rsidRDefault="00D55472" w:rsidP="00472CA4">
            <w:pPr>
              <w:numPr>
                <w:ilvl w:val="0"/>
                <w:numId w:val="51"/>
              </w:numPr>
              <w:spacing w:after="120"/>
              <w:ind w:left="459" w:hanging="425"/>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0"/>
                <w:szCs w:val="20"/>
                <w:lang w:val="en-US"/>
              </w:rPr>
            </w:pPr>
            <w:r w:rsidRPr="0063061C">
              <w:rPr>
                <w:rFonts w:ascii="Times New Roman" w:eastAsia="Calibri" w:hAnsi="Times New Roman" w:cs="Times New Roman"/>
                <w:bCs/>
                <w:sz w:val="20"/>
                <w:szCs w:val="20"/>
                <w:lang w:val="en-US"/>
              </w:rPr>
              <w:t>Limit</w:t>
            </w:r>
            <w:r>
              <w:rPr>
                <w:rFonts w:ascii="Times New Roman" w:eastAsia="Calibri" w:hAnsi="Times New Roman" w:cs="Times New Roman"/>
                <w:bCs/>
                <w:sz w:val="20"/>
                <w:szCs w:val="20"/>
                <w:lang w:val="en-US"/>
              </w:rPr>
              <w:t>ation</w:t>
            </w:r>
            <w:r w:rsidRPr="0063061C">
              <w:rPr>
                <w:rFonts w:ascii="Times New Roman" w:eastAsia="Calibri" w:hAnsi="Times New Roman" w:cs="Times New Roman"/>
                <w:bCs/>
                <w:sz w:val="20"/>
                <w:szCs w:val="20"/>
                <w:lang w:val="en-US"/>
              </w:rPr>
              <w:t xml:space="preserve"> of assets </w:t>
            </w:r>
            <w:r>
              <w:rPr>
                <w:rFonts w:ascii="Times New Roman" w:eastAsia="Calibri" w:hAnsi="Times New Roman" w:cs="Times New Roman"/>
                <w:bCs/>
                <w:sz w:val="20"/>
                <w:szCs w:val="20"/>
                <w:lang w:val="en-US"/>
              </w:rPr>
              <w:t>acceptable</w:t>
            </w:r>
            <w:r w:rsidRPr="0063061C">
              <w:rPr>
                <w:rFonts w:ascii="Times New Roman" w:eastAsia="Calibri" w:hAnsi="Times New Roman" w:cs="Times New Roman"/>
                <w:bCs/>
                <w:sz w:val="20"/>
                <w:szCs w:val="20"/>
                <w:lang w:val="en-US"/>
              </w:rPr>
              <w:t xml:space="preserve"> as collateral</w:t>
            </w:r>
          </w:p>
          <w:p w:rsidR="00D55472" w:rsidRPr="0063061C" w:rsidRDefault="00D55472" w:rsidP="00472CA4">
            <w:pPr>
              <w:numPr>
                <w:ilvl w:val="0"/>
                <w:numId w:val="51"/>
              </w:numPr>
              <w:spacing w:after="120"/>
              <w:ind w:left="459" w:hanging="425"/>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At least daily mark-to-market</w:t>
            </w:r>
          </w:p>
          <w:p w:rsidR="00D55472" w:rsidRPr="0063061C" w:rsidRDefault="00D55472" w:rsidP="00472CA4">
            <w:pPr>
              <w:numPr>
                <w:ilvl w:val="0"/>
                <w:numId w:val="51"/>
              </w:numPr>
              <w:spacing w:after="120"/>
              <w:ind w:left="459" w:hanging="425"/>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Default funds formation</w:t>
            </w:r>
          </w:p>
        </w:tc>
      </w:tr>
      <w:tr w:rsidR="00D55472" w:rsidRPr="009F55B7" w:rsidTr="005B4876">
        <w:tc>
          <w:tcPr>
            <w:cnfStyle w:val="001000000000" w:firstRow="0" w:lastRow="0" w:firstColumn="1" w:lastColumn="0" w:oddVBand="0" w:evenVBand="0" w:oddHBand="0" w:evenHBand="0" w:firstRowFirstColumn="0" w:firstRowLastColumn="0" w:lastRowFirstColumn="0" w:lastRowLastColumn="0"/>
            <w:tcW w:w="3227" w:type="dxa"/>
            <w:shd w:val="clear" w:color="auto" w:fill="C0504D" w:themeFill="accent2"/>
            <w:vAlign w:val="center"/>
          </w:tcPr>
          <w:p w:rsidR="00D55472" w:rsidRPr="0063061C" w:rsidRDefault="00D55472" w:rsidP="005B4876">
            <w:pPr>
              <w:spacing w:before="100" w:after="120"/>
              <w:jc w:val="center"/>
              <w:rPr>
                <w:rFonts w:ascii="Times New Roman" w:hAnsi="Times New Roman" w:cs="Times New Roman"/>
                <w:b/>
                <w:bCs/>
                <w:sz w:val="24"/>
                <w:szCs w:val="24"/>
                <w:lang w:val="en-US"/>
              </w:rPr>
            </w:pPr>
            <w:r w:rsidRPr="0063061C">
              <w:rPr>
                <w:rFonts w:ascii="Times New Roman" w:hAnsi="Times New Roman" w:cs="Times New Roman"/>
                <w:b/>
                <w:bCs/>
                <w:sz w:val="24"/>
                <w:szCs w:val="24"/>
                <w:lang w:val="en-US"/>
              </w:rPr>
              <w:t>Default Management</w:t>
            </w:r>
          </w:p>
        </w:tc>
        <w:tc>
          <w:tcPr>
            <w:tcW w:w="6344" w:type="dxa"/>
            <w:shd w:val="clear" w:color="auto" w:fill="F2DBDB" w:themeFill="accent2" w:themeFillTint="33"/>
          </w:tcPr>
          <w:p w:rsidR="00D55472" w:rsidRPr="0063061C" w:rsidRDefault="00D55472" w:rsidP="00472CA4">
            <w:pPr>
              <w:numPr>
                <w:ilvl w:val="0"/>
                <w:numId w:val="51"/>
              </w:numPr>
              <w:spacing w:after="120"/>
              <w:ind w:left="459" w:hanging="425"/>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0"/>
                <w:szCs w:val="20"/>
                <w:lang w:val="en-US"/>
              </w:rPr>
            </w:pPr>
            <w:r w:rsidRPr="0063061C">
              <w:rPr>
                <w:rFonts w:ascii="Times New Roman" w:eastAsia="Calibri" w:hAnsi="Times New Roman" w:cs="Times New Roman"/>
                <w:bCs/>
                <w:sz w:val="20"/>
                <w:szCs w:val="20"/>
                <w:lang w:val="en-US"/>
              </w:rPr>
              <w:t>Positions</w:t>
            </w:r>
            <w:r>
              <w:rPr>
                <w:rFonts w:ascii="Times New Roman" w:eastAsia="Calibri" w:hAnsi="Times New Roman" w:cs="Times New Roman"/>
                <w:bCs/>
                <w:sz w:val="20"/>
                <w:szCs w:val="20"/>
                <w:lang w:val="en-US"/>
              </w:rPr>
              <w:t>’</w:t>
            </w:r>
            <w:r w:rsidRPr="0063061C">
              <w:rPr>
                <w:rFonts w:ascii="Times New Roman" w:eastAsia="Calibri" w:hAnsi="Times New Roman" w:cs="Times New Roman"/>
                <w:bCs/>
                <w:sz w:val="20"/>
                <w:szCs w:val="20"/>
                <w:lang w:val="en-US"/>
              </w:rPr>
              <w:t xml:space="preserve"> </w:t>
            </w:r>
            <w:r>
              <w:rPr>
                <w:rFonts w:ascii="Times New Roman" w:eastAsia="Calibri" w:hAnsi="Times New Roman" w:cs="Times New Roman"/>
                <w:bCs/>
                <w:sz w:val="20"/>
                <w:szCs w:val="20"/>
                <w:lang w:val="en-US"/>
              </w:rPr>
              <w:t>roll-on or</w:t>
            </w:r>
            <w:r w:rsidRPr="0063061C">
              <w:rPr>
                <w:rFonts w:ascii="Times New Roman" w:eastAsia="Calibri" w:hAnsi="Times New Roman" w:cs="Times New Roman"/>
                <w:bCs/>
                <w:sz w:val="20"/>
                <w:szCs w:val="20"/>
                <w:lang w:val="en-US"/>
              </w:rPr>
              <w:t xml:space="preserve"> </w:t>
            </w:r>
            <w:r>
              <w:rPr>
                <w:rFonts w:ascii="Times New Roman" w:eastAsia="Calibri" w:hAnsi="Times New Roman" w:cs="Times New Roman"/>
                <w:bCs/>
                <w:sz w:val="20"/>
                <w:szCs w:val="20"/>
                <w:lang w:val="en-US"/>
              </w:rPr>
              <w:t>liquidation</w:t>
            </w:r>
          </w:p>
          <w:p w:rsidR="00D55472" w:rsidRPr="0063061C" w:rsidRDefault="00D55472" w:rsidP="00472CA4">
            <w:pPr>
              <w:numPr>
                <w:ilvl w:val="0"/>
                <w:numId w:val="51"/>
              </w:numPr>
              <w:spacing w:after="120"/>
              <w:ind w:left="459" w:hanging="425"/>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 xml:space="preserve">Default waterfall formation </w:t>
            </w:r>
            <w:r w:rsidRPr="0063061C">
              <w:rPr>
                <w:rFonts w:ascii="Times New Roman" w:eastAsia="Calibri" w:hAnsi="Times New Roman" w:cs="Times New Roman"/>
                <w:bCs/>
                <w:sz w:val="20"/>
                <w:szCs w:val="20"/>
                <w:lang w:val="en-US"/>
              </w:rPr>
              <w:t xml:space="preserve">for potential losses </w:t>
            </w:r>
            <w:r>
              <w:rPr>
                <w:rFonts w:ascii="Times New Roman" w:eastAsia="Calibri" w:hAnsi="Times New Roman" w:cs="Times New Roman"/>
                <w:bCs/>
                <w:sz w:val="20"/>
                <w:szCs w:val="20"/>
                <w:lang w:val="en-US"/>
              </w:rPr>
              <w:t xml:space="preserve">cover </w:t>
            </w:r>
            <w:r w:rsidRPr="0063061C">
              <w:rPr>
                <w:rFonts w:ascii="Times New Roman" w:eastAsia="Calibri" w:hAnsi="Times New Roman" w:cs="Times New Roman"/>
                <w:bCs/>
                <w:sz w:val="20"/>
                <w:szCs w:val="20"/>
                <w:lang w:val="en-US"/>
              </w:rPr>
              <w:t xml:space="preserve">(collateral, </w:t>
            </w:r>
            <w:r>
              <w:rPr>
                <w:rFonts w:ascii="Times New Roman" w:eastAsia="Calibri" w:hAnsi="Times New Roman" w:cs="Times New Roman"/>
                <w:bCs/>
                <w:sz w:val="20"/>
                <w:szCs w:val="20"/>
                <w:lang w:val="en-US"/>
              </w:rPr>
              <w:t xml:space="preserve">default </w:t>
            </w:r>
            <w:r w:rsidRPr="0063061C">
              <w:rPr>
                <w:rFonts w:ascii="Times New Roman" w:eastAsia="Calibri" w:hAnsi="Times New Roman" w:cs="Times New Roman"/>
                <w:bCs/>
                <w:sz w:val="20"/>
                <w:szCs w:val="20"/>
                <w:lang w:val="en-US"/>
              </w:rPr>
              <w:t xml:space="preserve">funds, NCC’s </w:t>
            </w:r>
            <w:r>
              <w:rPr>
                <w:rFonts w:ascii="Times New Roman" w:eastAsia="Calibri" w:hAnsi="Times New Roman" w:cs="Times New Roman"/>
                <w:bCs/>
                <w:sz w:val="20"/>
                <w:szCs w:val="20"/>
                <w:lang w:val="en-US"/>
              </w:rPr>
              <w:t>own capital</w:t>
            </w:r>
            <w:r w:rsidRPr="0063061C">
              <w:rPr>
                <w:rFonts w:ascii="Times New Roman" w:eastAsia="Calibri" w:hAnsi="Times New Roman" w:cs="Times New Roman"/>
                <w:bCs/>
                <w:sz w:val="20"/>
                <w:szCs w:val="20"/>
                <w:lang w:val="en-US"/>
              </w:rPr>
              <w:t>)</w:t>
            </w:r>
          </w:p>
        </w:tc>
      </w:tr>
    </w:tbl>
    <w:p w:rsidR="00D55472" w:rsidRPr="0063061C" w:rsidRDefault="00D55472" w:rsidP="00D55472">
      <w:pPr>
        <w:spacing w:after="120" w:line="240" w:lineRule="auto"/>
        <w:ind w:firstLine="567"/>
        <w:jc w:val="both"/>
        <w:rPr>
          <w:rFonts w:ascii="Times New Roman" w:hAnsi="Times New Roman" w:cs="Times New Roman"/>
          <w:sz w:val="24"/>
          <w:szCs w:val="24"/>
          <w:lang w:val="en-US"/>
        </w:rPr>
      </w:pPr>
    </w:p>
    <w:p w:rsidR="00D55472" w:rsidRPr="0063061C" w:rsidRDefault="00D55472" w:rsidP="00D55472">
      <w:pPr>
        <w:spacing w:after="120" w:line="240" w:lineRule="auto"/>
        <w:ind w:firstLine="567"/>
        <w:jc w:val="both"/>
        <w:rPr>
          <w:rFonts w:ascii="Times New Roman" w:hAnsi="Times New Roman" w:cs="Times New Roman"/>
          <w:sz w:val="24"/>
          <w:szCs w:val="24"/>
          <w:lang w:val="en-US"/>
        </w:rPr>
      </w:pPr>
      <w:r w:rsidRPr="0063061C">
        <w:rPr>
          <w:rFonts w:ascii="Times New Roman" w:eastAsia="Calibri" w:hAnsi="Times New Roman" w:cs="Times New Roman"/>
          <w:sz w:val="24"/>
          <w:szCs w:val="24"/>
          <w:lang w:val="en-US"/>
        </w:rPr>
        <w:t>NCC</w:t>
      </w:r>
      <w:r>
        <w:rPr>
          <w:rFonts w:ascii="Times New Roman" w:eastAsia="Calibri" w:hAnsi="Times New Roman" w:cs="Times New Roman"/>
          <w:sz w:val="24"/>
          <w:szCs w:val="24"/>
          <w:lang w:val="en-US"/>
        </w:rPr>
        <w:t>,</w:t>
      </w:r>
      <w:r w:rsidRPr="0095362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being responsible for the </w:t>
      </w:r>
      <w:r w:rsidRPr="0063061C">
        <w:rPr>
          <w:rFonts w:ascii="Times New Roman" w:eastAsia="Calibri" w:hAnsi="Times New Roman" w:cs="Times New Roman"/>
          <w:sz w:val="24"/>
          <w:szCs w:val="24"/>
          <w:lang w:val="en-US"/>
        </w:rPr>
        <w:t>timely fulfillment of clearing obligations</w:t>
      </w:r>
      <w:r>
        <w:rPr>
          <w:rFonts w:ascii="Times New Roman" w:eastAsia="Calibri" w:hAnsi="Times New Roman" w:cs="Times New Roman"/>
          <w:sz w:val="24"/>
          <w:szCs w:val="24"/>
          <w:lang w:val="en-US"/>
        </w:rPr>
        <w:t>,</w:t>
      </w:r>
      <w:r w:rsidRPr="0063061C">
        <w:rPr>
          <w:rFonts w:ascii="Times New Roman" w:hAnsi="Times New Roman" w:cs="Times New Roman"/>
          <w:sz w:val="24"/>
          <w:szCs w:val="24"/>
          <w:lang w:val="en-US"/>
        </w:rPr>
        <w:t xml:space="preserve"> </w:t>
      </w:r>
      <w:r>
        <w:rPr>
          <w:rFonts w:ascii="Times New Roman" w:hAnsi="Times New Roman" w:cs="Times New Roman"/>
          <w:sz w:val="24"/>
          <w:szCs w:val="24"/>
          <w:lang w:val="en-US"/>
        </w:rPr>
        <w:t>carries out</w:t>
      </w:r>
      <w:r w:rsidRPr="0063061C">
        <w:rPr>
          <w:rFonts w:ascii="Times New Roman" w:hAnsi="Times New Roman" w:cs="Times New Roman"/>
          <w:sz w:val="24"/>
          <w:szCs w:val="24"/>
          <w:lang w:val="en-US"/>
        </w:rPr>
        <w:t xml:space="preserve"> a </w:t>
      </w:r>
      <w:r w:rsidRPr="0063061C">
        <w:rPr>
          <w:rFonts w:ascii="Times New Roman" w:eastAsia="Calibri" w:hAnsi="Times New Roman" w:cs="Times New Roman"/>
          <w:sz w:val="24"/>
          <w:szCs w:val="24"/>
          <w:lang w:val="en-US"/>
        </w:rPr>
        <w:t>conservative risk management policy</w:t>
      </w:r>
      <w:r w:rsidRPr="0063061C">
        <w:rPr>
          <w:rFonts w:ascii="Times New Roman" w:hAnsi="Times New Roman" w:cs="Times New Roman"/>
          <w:sz w:val="24"/>
          <w:szCs w:val="24"/>
          <w:lang w:val="en-US"/>
        </w:rPr>
        <w:t xml:space="preserve">. </w:t>
      </w:r>
    </w:p>
    <w:p w:rsidR="00D55472" w:rsidRPr="0063061C" w:rsidRDefault="00D55472" w:rsidP="00D55472">
      <w:pPr>
        <w:spacing w:after="120" w:line="240" w:lineRule="auto"/>
        <w:ind w:firstLine="567"/>
        <w:jc w:val="both"/>
        <w:rPr>
          <w:rFonts w:ascii="Times New Roman" w:eastAsia="Calibri" w:hAnsi="Times New Roman" w:cs="Times New Roman"/>
          <w:sz w:val="24"/>
          <w:szCs w:val="24"/>
          <w:lang w:val="en-US"/>
        </w:rPr>
      </w:pPr>
      <w:r w:rsidRPr="0063061C">
        <w:rPr>
          <w:rFonts w:ascii="Times New Roman" w:eastAsia="Calibri" w:hAnsi="Times New Roman" w:cs="Times New Roman"/>
          <w:sz w:val="24"/>
          <w:szCs w:val="24"/>
          <w:lang w:val="en-US"/>
        </w:rPr>
        <w:t>To ensure the stability of its activities, NCC applies risk management methods</w:t>
      </w:r>
      <w:r>
        <w:rPr>
          <w:rFonts w:ascii="Times New Roman" w:eastAsia="Calibri" w:hAnsi="Times New Roman" w:cs="Times New Roman"/>
          <w:sz w:val="24"/>
          <w:szCs w:val="24"/>
          <w:lang w:val="en-US"/>
        </w:rPr>
        <w:t xml:space="preserve"> corresponding to </w:t>
      </w:r>
      <w:r w:rsidRPr="0063061C">
        <w:rPr>
          <w:rFonts w:ascii="Times New Roman" w:eastAsia="Calibri" w:hAnsi="Times New Roman" w:cs="Times New Roman"/>
          <w:sz w:val="24"/>
          <w:szCs w:val="24"/>
          <w:lang w:val="en-US"/>
        </w:rPr>
        <w:t xml:space="preserve">the </w:t>
      </w:r>
      <w:r w:rsidRPr="00A45DDC">
        <w:rPr>
          <w:rFonts w:ascii="Times New Roman" w:eastAsia="Calibri" w:hAnsi="Times New Roman" w:cs="Times New Roman"/>
          <w:sz w:val="24"/>
          <w:szCs w:val="24"/>
          <w:lang w:val="en-US"/>
        </w:rPr>
        <w:t>requirements</w:t>
      </w:r>
      <w:r w:rsidRPr="0043291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set by</w:t>
      </w:r>
      <w:r w:rsidRPr="0063061C">
        <w:rPr>
          <w:rFonts w:ascii="Times New Roman" w:eastAsia="Calibri" w:hAnsi="Times New Roman" w:cs="Times New Roman"/>
          <w:sz w:val="24"/>
          <w:szCs w:val="24"/>
          <w:lang w:val="en-US"/>
        </w:rPr>
        <w:t xml:space="preserve"> Russian regulatory bodies, </w:t>
      </w:r>
      <w:r>
        <w:rPr>
          <w:rFonts w:ascii="Times New Roman" w:eastAsia="Calibri" w:hAnsi="Times New Roman" w:cs="Times New Roman"/>
          <w:sz w:val="24"/>
          <w:szCs w:val="24"/>
          <w:lang w:val="en-US"/>
        </w:rPr>
        <w:t>standards</w:t>
      </w:r>
      <w:r w:rsidRPr="0063061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of the </w:t>
      </w:r>
      <w:r w:rsidRPr="0063061C">
        <w:rPr>
          <w:rFonts w:ascii="Times New Roman" w:eastAsia="Calibri" w:hAnsi="Times New Roman" w:cs="Times New Roman"/>
          <w:sz w:val="24"/>
          <w:szCs w:val="24"/>
          <w:lang w:val="en-US"/>
        </w:rPr>
        <w:t>Basel Committee for Banking Supervision, as well as international standards of Committee on Payment and Settlement Systems of International Settlements Bank and Technical</w:t>
      </w:r>
      <w:r w:rsidRPr="0063061C">
        <w:rPr>
          <w:rFonts w:ascii="Times New Roman" w:hAnsi="Times New Roman" w:cs="Times New Roman"/>
          <w:sz w:val="24"/>
          <w:szCs w:val="24"/>
          <w:lang w:val="en-US"/>
        </w:rPr>
        <w:t xml:space="preserve"> Committee of International Organization of Securities Commissions (CPSS-IOSCO) for </w:t>
      </w:r>
      <w:r>
        <w:rPr>
          <w:rFonts w:ascii="Times New Roman" w:hAnsi="Times New Roman" w:cs="Times New Roman"/>
          <w:sz w:val="24"/>
          <w:szCs w:val="24"/>
          <w:lang w:val="en-US"/>
        </w:rPr>
        <w:t>financial market infrastructures</w:t>
      </w:r>
      <w:r w:rsidRPr="0063061C">
        <w:rPr>
          <w:rFonts w:ascii="Times New Roman" w:hAnsi="Times New Roman" w:cs="Times New Roman"/>
          <w:sz w:val="24"/>
          <w:szCs w:val="24"/>
          <w:lang w:val="en-US"/>
        </w:rPr>
        <w:t xml:space="preserve">. </w:t>
      </w:r>
    </w:p>
    <w:p w:rsidR="00D55472" w:rsidRPr="0063061C" w:rsidRDefault="00D55472" w:rsidP="00D55472">
      <w:pPr>
        <w:spacing w:after="120" w:line="240" w:lineRule="auto"/>
        <w:ind w:firstLine="567"/>
        <w:jc w:val="both"/>
        <w:rPr>
          <w:rFonts w:ascii="Times New Roman" w:hAnsi="Times New Roman" w:cs="Times New Roman"/>
          <w:sz w:val="24"/>
          <w:szCs w:val="24"/>
          <w:lang w:val="en-US"/>
        </w:rPr>
      </w:pPr>
      <w:r w:rsidRPr="0063061C">
        <w:rPr>
          <w:rFonts w:ascii="Times New Roman" w:hAnsi="Times New Roman" w:cs="Times New Roman"/>
          <w:sz w:val="24"/>
          <w:szCs w:val="24"/>
          <w:lang w:val="en-US"/>
        </w:rPr>
        <w:t xml:space="preserve">In the </w:t>
      </w:r>
      <w:r>
        <w:rPr>
          <w:rFonts w:ascii="Times New Roman" w:hAnsi="Times New Roman" w:cs="Times New Roman"/>
          <w:sz w:val="24"/>
          <w:szCs w:val="24"/>
          <w:lang w:val="en-US"/>
        </w:rPr>
        <w:t>reporting</w:t>
      </w:r>
      <w:r w:rsidRPr="0063061C">
        <w:rPr>
          <w:rFonts w:ascii="Times New Roman" w:hAnsi="Times New Roman" w:cs="Times New Roman"/>
          <w:sz w:val="24"/>
          <w:szCs w:val="24"/>
          <w:lang w:val="en-US"/>
        </w:rPr>
        <w:t xml:space="preserve"> year NCC carried out its activities and </w:t>
      </w:r>
      <w:r>
        <w:rPr>
          <w:rFonts w:ascii="Times New Roman" w:hAnsi="Times New Roman" w:cs="Times New Roman"/>
          <w:sz w:val="24"/>
          <w:szCs w:val="24"/>
          <w:lang w:val="en-US"/>
        </w:rPr>
        <w:t xml:space="preserve">made </w:t>
      </w:r>
      <w:r w:rsidRPr="0063061C">
        <w:rPr>
          <w:rFonts w:ascii="Times New Roman" w:hAnsi="Times New Roman" w:cs="Times New Roman"/>
          <w:sz w:val="24"/>
          <w:szCs w:val="24"/>
          <w:lang w:val="en-US"/>
        </w:rPr>
        <w:t xml:space="preserve">all the efforts to develop </w:t>
      </w:r>
      <w:r w:rsidR="00796C4D">
        <w:rPr>
          <w:rFonts w:ascii="Times New Roman" w:hAnsi="Times New Roman" w:cs="Times New Roman"/>
          <w:sz w:val="24"/>
          <w:szCs w:val="24"/>
          <w:lang w:val="en-US"/>
        </w:rPr>
        <w:t xml:space="preserve">the </w:t>
      </w:r>
      <w:r w:rsidRPr="0063061C">
        <w:rPr>
          <w:rFonts w:ascii="Times New Roman" w:hAnsi="Times New Roman" w:cs="Times New Roman"/>
          <w:sz w:val="24"/>
          <w:szCs w:val="24"/>
          <w:lang w:val="en-US"/>
        </w:rPr>
        <w:t xml:space="preserve">risk management </w:t>
      </w:r>
      <w:r>
        <w:rPr>
          <w:rFonts w:ascii="Times New Roman" w:hAnsi="Times New Roman" w:cs="Times New Roman"/>
          <w:sz w:val="24"/>
          <w:szCs w:val="24"/>
          <w:lang w:val="en-US"/>
        </w:rPr>
        <w:t>framework</w:t>
      </w:r>
      <w:r w:rsidRPr="0063061C">
        <w:rPr>
          <w:rFonts w:ascii="Times New Roman" w:hAnsi="Times New Roman" w:cs="Times New Roman"/>
          <w:sz w:val="24"/>
          <w:szCs w:val="24"/>
          <w:lang w:val="en-US"/>
        </w:rPr>
        <w:t xml:space="preserve"> in accordance with the requirements of the </w:t>
      </w:r>
      <w:r w:rsidRPr="0063061C">
        <w:rPr>
          <w:rFonts w:ascii="Times New Roman" w:eastAsia="Times New Roman" w:hAnsi="Times New Roman" w:cs="Times New Roman"/>
          <w:sz w:val="24"/>
          <w:szCs w:val="24"/>
          <w:lang w:val="en-US" w:eastAsia="ru-RU"/>
        </w:rPr>
        <w:t>Bank of Russia Guides No. 2919-U “On Management</w:t>
      </w:r>
      <w:r>
        <w:rPr>
          <w:rFonts w:ascii="Times New Roman" w:eastAsia="Times New Roman" w:hAnsi="Times New Roman" w:cs="Times New Roman"/>
          <w:sz w:val="24"/>
          <w:szCs w:val="24"/>
          <w:lang w:val="en-US" w:eastAsia="ru-RU"/>
        </w:rPr>
        <w:t xml:space="preserve"> </w:t>
      </w:r>
      <w:r w:rsidRPr="00DF312C">
        <w:rPr>
          <w:rFonts w:ascii="Times New Roman" w:eastAsia="Times New Roman" w:hAnsi="Times New Roman" w:cs="Times New Roman"/>
          <w:sz w:val="24"/>
          <w:szCs w:val="24"/>
          <w:lang w:val="en-US" w:eastAsia="ru-RU"/>
        </w:rPr>
        <w:t>Quality Assessment of Banking Organization Acting</w:t>
      </w:r>
      <w:r w:rsidRPr="00DF312C">
        <w:rPr>
          <w:rFonts w:ascii="Times New Roman" w:hAnsi="Times New Roman" w:cs="Times New Roman"/>
          <w:sz w:val="24"/>
          <w:szCs w:val="24"/>
          <w:lang w:val="en-US"/>
        </w:rPr>
        <w:t xml:space="preserve"> as a Central Counterparty", further – </w:t>
      </w:r>
      <w:r w:rsidRPr="00DF312C">
        <w:rPr>
          <w:rFonts w:ascii="Times New Roman" w:eastAsia="Times New Roman" w:hAnsi="Times New Roman" w:cs="Times New Roman"/>
          <w:sz w:val="24"/>
          <w:szCs w:val="24"/>
          <w:lang w:val="en-US" w:eastAsia="ru-RU"/>
        </w:rPr>
        <w:t>Guides N</w:t>
      </w:r>
      <w:r w:rsidRPr="0063061C">
        <w:rPr>
          <w:rFonts w:ascii="Times New Roman" w:eastAsia="Times New Roman" w:hAnsi="Times New Roman" w:cs="Times New Roman"/>
          <w:sz w:val="24"/>
          <w:szCs w:val="24"/>
          <w:lang w:val="en-US" w:eastAsia="ru-RU"/>
        </w:rPr>
        <w:t>o. 2919-U</w:t>
      </w:r>
      <w:r w:rsidRPr="0063061C">
        <w:rPr>
          <w:rFonts w:ascii="Times New Roman" w:hAnsi="Times New Roman" w:cs="Times New Roman"/>
          <w:sz w:val="24"/>
          <w:szCs w:val="24"/>
          <w:lang w:val="en-US"/>
        </w:rPr>
        <w:t xml:space="preserve">. In October 2013 the Bank of Russia </w:t>
      </w:r>
      <w:proofErr w:type="gramStart"/>
      <w:r>
        <w:rPr>
          <w:rFonts w:ascii="Times New Roman" w:hAnsi="Times New Roman" w:cs="Times New Roman"/>
          <w:sz w:val="24"/>
          <w:szCs w:val="24"/>
          <w:lang w:val="en-US"/>
        </w:rPr>
        <w:t xml:space="preserve">recognized </w:t>
      </w:r>
      <w:r w:rsidRPr="0063061C">
        <w:rPr>
          <w:rFonts w:ascii="Times New Roman" w:hAnsi="Times New Roman" w:cs="Times New Roman"/>
          <w:sz w:val="24"/>
          <w:szCs w:val="24"/>
          <w:lang w:val="en-US"/>
        </w:rPr>
        <w:t xml:space="preserve"> NCC</w:t>
      </w:r>
      <w:r>
        <w:rPr>
          <w:rFonts w:ascii="Times New Roman" w:hAnsi="Times New Roman" w:cs="Times New Roman"/>
          <w:sz w:val="24"/>
          <w:szCs w:val="24"/>
          <w:lang w:val="en-US"/>
        </w:rPr>
        <w:t>’s</w:t>
      </w:r>
      <w:proofErr w:type="gramEnd"/>
      <w:r w:rsidRPr="0063061C">
        <w:rPr>
          <w:rFonts w:ascii="Times New Roman" w:hAnsi="Times New Roman" w:cs="Times New Roman"/>
          <w:sz w:val="24"/>
          <w:szCs w:val="24"/>
          <w:lang w:val="en-US"/>
        </w:rPr>
        <w:t xml:space="preserve"> management quality as satisfactory and by that </w:t>
      </w:r>
      <w:r>
        <w:rPr>
          <w:rFonts w:ascii="Times New Roman" w:hAnsi="Times New Roman" w:cs="Times New Roman"/>
          <w:sz w:val="24"/>
          <w:szCs w:val="24"/>
          <w:lang w:val="en-US"/>
        </w:rPr>
        <w:t>NCC was</w:t>
      </w:r>
      <w:r w:rsidRPr="0063061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assigned </w:t>
      </w:r>
      <w:r w:rsidRPr="0063061C">
        <w:rPr>
          <w:rFonts w:ascii="Times New Roman" w:hAnsi="Times New Roman" w:cs="Times New Roman"/>
          <w:sz w:val="24"/>
          <w:szCs w:val="24"/>
          <w:lang w:val="en-US"/>
        </w:rPr>
        <w:t xml:space="preserve">the status of a </w:t>
      </w:r>
      <w:r>
        <w:rPr>
          <w:rFonts w:ascii="Times New Roman" w:hAnsi="Times New Roman" w:cs="Times New Roman"/>
          <w:sz w:val="24"/>
          <w:szCs w:val="24"/>
          <w:lang w:val="en-US"/>
        </w:rPr>
        <w:t>qualifying</w:t>
      </w:r>
      <w:r w:rsidRPr="0063061C">
        <w:rPr>
          <w:rFonts w:ascii="Times New Roman" w:hAnsi="Times New Roman" w:cs="Times New Roman"/>
          <w:sz w:val="24"/>
          <w:szCs w:val="24"/>
          <w:lang w:val="en-US"/>
        </w:rPr>
        <w:t xml:space="preserve"> central counterparty. </w:t>
      </w:r>
    </w:p>
    <w:p w:rsidR="00D55472" w:rsidRPr="0063061C" w:rsidRDefault="00D55472" w:rsidP="00D55472">
      <w:pPr>
        <w:spacing w:after="12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Obtaining</w:t>
      </w:r>
      <w:r w:rsidRPr="0063061C">
        <w:rPr>
          <w:rFonts w:ascii="Times New Roman" w:hAnsi="Times New Roman" w:cs="Times New Roman"/>
          <w:sz w:val="24"/>
          <w:szCs w:val="24"/>
          <w:lang w:val="en-US"/>
        </w:rPr>
        <w:t xml:space="preserve"> the status was a major event not only for NCC</w:t>
      </w:r>
      <w:r>
        <w:rPr>
          <w:rFonts w:ascii="Times New Roman" w:hAnsi="Times New Roman" w:cs="Times New Roman"/>
          <w:sz w:val="24"/>
          <w:szCs w:val="24"/>
          <w:lang w:val="en-US"/>
        </w:rPr>
        <w:t xml:space="preserve"> and</w:t>
      </w:r>
      <w:r w:rsidRPr="0063061C">
        <w:rPr>
          <w:rFonts w:ascii="Times New Roman" w:hAnsi="Times New Roman" w:cs="Times New Roman"/>
          <w:sz w:val="24"/>
          <w:szCs w:val="24"/>
          <w:lang w:val="en-US"/>
        </w:rPr>
        <w:t xml:space="preserve"> Moscow Exchange Group, but for the Russian financial market in general. Thus, in accordance with </w:t>
      </w:r>
      <w:r w:rsidRPr="00005AFD">
        <w:rPr>
          <w:rFonts w:ascii="Times New Roman" w:hAnsi="Times New Roman" w:cs="Times New Roman"/>
          <w:sz w:val="24"/>
          <w:szCs w:val="24"/>
          <w:lang w:val="en-US"/>
        </w:rPr>
        <w:t>acting</w:t>
      </w:r>
      <w:r w:rsidRPr="00953626">
        <w:rPr>
          <w:rFonts w:ascii="Times New Roman" w:hAnsi="Times New Roman" w:cs="Times New Roman"/>
          <w:color w:val="FF0000"/>
          <w:sz w:val="24"/>
          <w:szCs w:val="24"/>
          <w:lang w:val="en-US"/>
        </w:rPr>
        <w:t xml:space="preserve"> </w:t>
      </w:r>
      <w:r w:rsidRPr="0063061C">
        <w:rPr>
          <w:rFonts w:ascii="Times New Roman" w:hAnsi="Times New Roman" w:cs="Times New Roman"/>
          <w:sz w:val="24"/>
          <w:szCs w:val="24"/>
          <w:lang w:val="en-US"/>
        </w:rPr>
        <w:t xml:space="preserve">regulations of the Bank of Russia, when calculating the </w:t>
      </w:r>
      <w:r>
        <w:rPr>
          <w:rFonts w:ascii="Times New Roman" w:hAnsi="Times New Roman" w:cs="Times New Roman"/>
          <w:sz w:val="24"/>
          <w:szCs w:val="24"/>
          <w:lang w:val="en-US"/>
        </w:rPr>
        <w:t>capital adequacy ratio</w:t>
      </w:r>
      <w:r w:rsidRPr="0063061C">
        <w:rPr>
          <w:rFonts w:ascii="Times New Roman" w:hAnsi="Times New Roman" w:cs="Times New Roman"/>
          <w:sz w:val="24"/>
          <w:szCs w:val="24"/>
          <w:lang w:val="en-US"/>
        </w:rPr>
        <w:t xml:space="preserve"> (N1) Russian banks are now able to </w:t>
      </w:r>
      <w:r>
        <w:rPr>
          <w:rFonts w:ascii="Times New Roman" w:hAnsi="Times New Roman" w:cs="Times New Roman"/>
          <w:sz w:val="24"/>
          <w:szCs w:val="24"/>
          <w:lang w:val="en-US"/>
        </w:rPr>
        <w:t>use</w:t>
      </w:r>
      <w:r w:rsidRPr="0063061C">
        <w:rPr>
          <w:rFonts w:ascii="Times New Roman" w:hAnsi="Times New Roman" w:cs="Times New Roman"/>
          <w:sz w:val="24"/>
          <w:szCs w:val="24"/>
          <w:lang w:val="en-US"/>
        </w:rPr>
        <w:t xml:space="preserve"> reduced risk </w:t>
      </w:r>
      <w:r>
        <w:rPr>
          <w:rFonts w:ascii="Times New Roman" w:hAnsi="Times New Roman" w:cs="Times New Roman"/>
          <w:sz w:val="24"/>
          <w:szCs w:val="24"/>
          <w:lang w:val="en-US"/>
        </w:rPr>
        <w:t>weights</w:t>
      </w:r>
      <w:r w:rsidRPr="0063061C">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63061C">
        <w:rPr>
          <w:rFonts w:ascii="Times New Roman" w:hAnsi="Times New Roman" w:cs="Times New Roman"/>
          <w:sz w:val="24"/>
          <w:szCs w:val="24"/>
          <w:lang w:val="en-US"/>
        </w:rPr>
        <w:t xml:space="preserve"> </w:t>
      </w:r>
      <w:r>
        <w:rPr>
          <w:rFonts w:ascii="Times New Roman" w:hAnsi="Times New Roman" w:cs="Times New Roman"/>
          <w:sz w:val="24"/>
          <w:szCs w:val="24"/>
          <w:lang w:val="en-US"/>
        </w:rPr>
        <w:t>exposures</w:t>
      </w:r>
      <w:r w:rsidRPr="0063191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qualifying </w:t>
      </w:r>
      <w:r w:rsidRPr="0063061C">
        <w:rPr>
          <w:rFonts w:ascii="Times New Roman" w:hAnsi="Times New Roman" w:cs="Times New Roman"/>
          <w:sz w:val="24"/>
          <w:szCs w:val="24"/>
          <w:lang w:val="en-US"/>
        </w:rPr>
        <w:t>central counterpart</w:t>
      </w:r>
      <w:r>
        <w:rPr>
          <w:rFonts w:ascii="Times New Roman" w:hAnsi="Times New Roman" w:cs="Times New Roman"/>
          <w:sz w:val="24"/>
          <w:szCs w:val="24"/>
          <w:lang w:val="en-US"/>
        </w:rPr>
        <w:t>ies</w:t>
      </w:r>
      <w:r w:rsidRPr="0063061C">
        <w:rPr>
          <w:rFonts w:ascii="Times New Roman" w:hAnsi="Times New Roman" w:cs="Times New Roman"/>
          <w:sz w:val="24"/>
          <w:szCs w:val="24"/>
          <w:lang w:val="en-US"/>
        </w:rPr>
        <w:t xml:space="preserve">. Reducing the </w:t>
      </w:r>
      <w:r>
        <w:rPr>
          <w:rFonts w:ascii="Times New Roman" w:hAnsi="Times New Roman" w:cs="Times New Roman"/>
          <w:sz w:val="24"/>
          <w:szCs w:val="24"/>
          <w:lang w:val="en-US"/>
        </w:rPr>
        <w:t>burden of the regulation on capital requirements for</w:t>
      </w:r>
      <w:r w:rsidRPr="0063061C">
        <w:rPr>
          <w:rFonts w:ascii="Times New Roman" w:hAnsi="Times New Roman" w:cs="Times New Roman"/>
          <w:sz w:val="24"/>
          <w:szCs w:val="24"/>
          <w:lang w:val="en-US"/>
        </w:rPr>
        <w:t xml:space="preserve"> trades</w:t>
      </w:r>
      <w:r>
        <w:rPr>
          <w:rFonts w:ascii="Times New Roman" w:hAnsi="Times New Roman" w:cs="Times New Roman"/>
          <w:sz w:val="24"/>
          <w:szCs w:val="24"/>
          <w:lang w:val="en-US"/>
        </w:rPr>
        <w:t xml:space="preserve"> </w:t>
      </w:r>
      <w:r w:rsidRPr="0063061C">
        <w:rPr>
          <w:rFonts w:ascii="Times New Roman" w:hAnsi="Times New Roman" w:cs="Times New Roman"/>
          <w:sz w:val="24"/>
          <w:szCs w:val="24"/>
          <w:lang w:val="en-US"/>
        </w:rPr>
        <w:t xml:space="preserve">with NCC as a </w:t>
      </w:r>
      <w:r>
        <w:rPr>
          <w:rFonts w:ascii="Times New Roman" w:hAnsi="Times New Roman" w:cs="Times New Roman"/>
          <w:sz w:val="24"/>
          <w:szCs w:val="24"/>
          <w:lang w:val="en-US"/>
        </w:rPr>
        <w:t xml:space="preserve">qualifying </w:t>
      </w:r>
      <w:r w:rsidRPr="0063061C">
        <w:rPr>
          <w:rFonts w:ascii="Times New Roman" w:hAnsi="Times New Roman" w:cs="Times New Roman"/>
          <w:sz w:val="24"/>
          <w:szCs w:val="24"/>
          <w:lang w:val="en-US"/>
        </w:rPr>
        <w:t xml:space="preserve">central counterparty is a </w:t>
      </w:r>
      <w:r>
        <w:rPr>
          <w:rFonts w:ascii="Times New Roman" w:hAnsi="Times New Roman" w:cs="Times New Roman"/>
          <w:sz w:val="24"/>
          <w:szCs w:val="24"/>
          <w:lang w:val="en-US"/>
        </w:rPr>
        <w:t xml:space="preserve">direct reflection </w:t>
      </w:r>
      <w:r w:rsidRPr="0063061C">
        <w:rPr>
          <w:rFonts w:ascii="Times New Roman" w:hAnsi="Times New Roman" w:cs="Times New Roman"/>
          <w:sz w:val="24"/>
          <w:szCs w:val="24"/>
          <w:lang w:val="en-US"/>
        </w:rPr>
        <w:t xml:space="preserve">of international initiatives in the area of defining capital </w:t>
      </w:r>
      <w:r>
        <w:rPr>
          <w:rFonts w:ascii="Times New Roman" w:hAnsi="Times New Roman" w:cs="Times New Roman"/>
          <w:sz w:val="24"/>
          <w:szCs w:val="24"/>
          <w:lang w:val="en-US"/>
        </w:rPr>
        <w:t>adequacy</w:t>
      </w:r>
      <w:r w:rsidRPr="0063061C">
        <w:rPr>
          <w:rFonts w:ascii="Times New Roman" w:hAnsi="Times New Roman" w:cs="Times New Roman"/>
          <w:sz w:val="24"/>
          <w:szCs w:val="24"/>
          <w:lang w:val="en-US"/>
        </w:rPr>
        <w:t xml:space="preserve"> of banking organizations (Basel III). </w:t>
      </w:r>
      <w:r>
        <w:rPr>
          <w:rFonts w:ascii="Times New Roman" w:hAnsi="Times New Roman" w:cs="Times New Roman"/>
          <w:sz w:val="24"/>
          <w:szCs w:val="24"/>
          <w:lang w:val="en-US"/>
        </w:rPr>
        <w:t>R</w:t>
      </w:r>
      <w:r w:rsidRPr="0063061C">
        <w:rPr>
          <w:rFonts w:ascii="Times New Roman" w:hAnsi="Times New Roman" w:cs="Times New Roman"/>
          <w:sz w:val="24"/>
          <w:szCs w:val="24"/>
          <w:lang w:val="en-US"/>
        </w:rPr>
        <w:t xml:space="preserve">educed risk </w:t>
      </w:r>
      <w:r>
        <w:rPr>
          <w:rFonts w:ascii="Times New Roman" w:hAnsi="Times New Roman" w:cs="Times New Roman"/>
          <w:sz w:val="24"/>
          <w:szCs w:val="24"/>
          <w:lang w:val="en-US"/>
        </w:rPr>
        <w:t>weights</w:t>
      </w:r>
      <w:r w:rsidRPr="0063061C">
        <w:rPr>
          <w:rFonts w:ascii="Times New Roman" w:hAnsi="Times New Roman" w:cs="Times New Roman"/>
          <w:sz w:val="24"/>
          <w:szCs w:val="24"/>
          <w:lang w:val="en-US"/>
        </w:rPr>
        <w:t xml:space="preserve"> </w:t>
      </w:r>
      <w:r>
        <w:rPr>
          <w:rFonts w:ascii="Times New Roman" w:hAnsi="Times New Roman" w:cs="Times New Roman"/>
          <w:sz w:val="24"/>
          <w:szCs w:val="24"/>
          <w:lang w:val="en-US"/>
        </w:rPr>
        <w:t>applied to the</w:t>
      </w:r>
      <w:r w:rsidRPr="0063061C">
        <w:rPr>
          <w:rFonts w:ascii="Times New Roman" w:hAnsi="Times New Roman" w:cs="Times New Roman"/>
          <w:sz w:val="24"/>
          <w:szCs w:val="24"/>
          <w:lang w:val="en-US"/>
        </w:rPr>
        <w:t xml:space="preserve"> tra</w:t>
      </w:r>
      <w:r>
        <w:rPr>
          <w:rFonts w:ascii="Times New Roman" w:hAnsi="Times New Roman" w:cs="Times New Roman"/>
          <w:sz w:val="24"/>
          <w:szCs w:val="24"/>
          <w:lang w:val="en-US"/>
        </w:rPr>
        <w:t>nsactions</w:t>
      </w:r>
      <w:r w:rsidRPr="0063061C">
        <w:rPr>
          <w:rFonts w:ascii="Times New Roman" w:hAnsi="Times New Roman" w:cs="Times New Roman"/>
          <w:sz w:val="24"/>
          <w:szCs w:val="24"/>
          <w:lang w:val="en-US"/>
        </w:rPr>
        <w:t xml:space="preserve"> with a qualif</w:t>
      </w:r>
      <w:r>
        <w:rPr>
          <w:rFonts w:ascii="Times New Roman" w:hAnsi="Times New Roman" w:cs="Times New Roman"/>
          <w:sz w:val="24"/>
          <w:szCs w:val="24"/>
          <w:lang w:val="en-US"/>
        </w:rPr>
        <w:t>ying</w:t>
      </w:r>
      <w:r w:rsidRPr="0063061C">
        <w:rPr>
          <w:rFonts w:ascii="Times New Roman" w:hAnsi="Times New Roman" w:cs="Times New Roman"/>
          <w:sz w:val="24"/>
          <w:szCs w:val="24"/>
          <w:lang w:val="en-US"/>
        </w:rPr>
        <w:t xml:space="preserve"> central counterparty </w:t>
      </w:r>
      <w:r>
        <w:rPr>
          <w:rFonts w:ascii="Times New Roman" w:hAnsi="Times New Roman" w:cs="Times New Roman"/>
          <w:sz w:val="24"/>
          <w:szCs w:val="24"/>
          <w:lang w:val="en-US"/>
        </w:rPr>
        <w:t>are</w:t>
      </w:r>
      <w:r w:rsidRPr="0063061C">
        <w:rPr>
          <w:rFonts w:ascii="Times New Roman" w:hAnsi="Times New Roman" w:cs="Times New Roman"/>
          <w:sz w:val="24"/>
          <w:szCs w:val="24"/>
          <w:lang w:val="en-US"/>
        </w:rPr>
        <w:t xml:space="preserve"> an important driver for stimulating </w:t>
      </w:r>
      <w:r>
        <w:rPr>
          <w:rFonts w:ascii="Times New Roman" w:hAnsi="Times New Roman" w:cs="Times New Roman"/>
          <w:sz w:val="24"/>
          <w:szCs w:val="24"/>
          <w:lang w:val="en-US"/>
        </w:rPr>
        <w:t>clearing via</w:t>
      </w:r>
      <w:r w:rsidRPr="0063061C">
        <w:rPr>
          <w:rFonts w:ascii="Times New Roman" w:hAnsi="Times New Roman" w:cs="Times New Roman"/>
          <w:sz w:val="24"/>
          <w:szCs w:val="24"/>
          <w:lang w:val="en-US"/>
        </w:rPr>
        <w:t xml:space="preserve"> CCP</w:t>
      </w:r>
      <w:proofErr w:type="gramStart"/>
      <w:r>
        <w:rPr>
          <w:rFonts w:ascii="Times New Roman" w:hAnsi="Times New Roman" w:cs="Times New Roman"/>
          <w:sz w:val="24"/>
          <w:szCs w:val="24"/>
          <w:lang w:val="en-US"/>
        </w:rPr>
        <w:t>,</w:t>
      </w:r>
      <w:r w:rsidRPr="0063061C">
        <w:rPr>
          <w:rFonts w:ascii="Times New Roman" w:hAnsi="Times New Roman" w:cs="Times New Roman"/>
          <w:sz w:val="24"/>
          <w:szCs w:val="24"/>
          <w:lang w:val="en-US"/>
        </w:rPr>
        <w:t xml:space="preserve">  </w:t>
      </w:r>
      <w:r>
        <w:rPr>
          <w:rFonts w:ascii="Times New Roman" w:hAnsi="Times New Roman" w:cs="Times New Roman"/>
          <w:sz w:val="24"/>
          <w:szCs w:val="24"/>
          <w:lang w:val="en-US"/>
        </w:rPr>
        <w:t>which</w:t>
      </w:r>
      <w:proofErr w:type="gramEnd"/>
      <w:r w:rsidRPr="0063061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facilitates  the reduction of </w:t>
      </w:r>
      <w:r w:rsidRPr="0063061C">
        <w:rPr>
          <w:rFonts w:ascii="Times New Roman" w:hAnsi="Times New Roman" w:cs="Times New Roman"/>
          <w:sz w:val="24"/>
          <w:szCs w:val="24"/>
          <w:lang w:val="en-US"/>
        </w:rPr>
        <w:t xml:space="preserve"> system</w:t>
      </w:r>
      <w:r>
        <w:rPr>
          <w:rFonts w:ascii="Times New Roman" w:hAnsi="Times New Roman" w:cs="Times New Roman"/>
          <w:sz w:val="24"/>
          <w:szCs w:val="24"/>
          <w:lang w:val="en-US"/>
        </w:rPr>
        <w:t xml:space="preserve">atic </w:t>
      </w:r>
      <w:r w:rsidRPr="0063061C">
        <w:rPr>
          <w:rFonts w:ascii="Times New Roman" w:hAnsi="Times New Roman" w:cs="Times New Roman"/>
          <w:sz w:val="24"/>
          <w:szCs w:val="24"/>
          <w:lang w:val="en-US"/>
        </w:rPr>
        <w:t xml:space="preserve"> risk</w:t>
      </w:r>
      <w:r>
        <w:rPr>
          <w:rFonts w:ascii="Times New Roman" w:hAnsi="Times New Roman" w:cs="Times New Roman"/>
          <w:sz w:val="24"/>
          <w:szCs w:val="24"/>
          <w:lang w:val="en-US"/>
        </w:rPr>
        <w:t xml:space="preserve">s </w:t>
      </w:r>
      <w:r w:rsidRPr="0063061C">
        <w:rPr>
          <w:rFonts w:ascii="Times New Roman" w:hAnsi="Times New Roman" w:cs="Times New Roman"/>
          <w:sz w:val="24"/>
          <w:szCs w:val="24"/>
          <w:lang w:val="en-US"/>
        </w:rPr>
        <w:t>and</w:t>
      </w:r>
      <w:r>
        <w:rPr>
          <w:rFonts w:ascii="Times New Roman" w:hAnsi="Times New Roman" w:cs="Times New Roman"/>
          <w:sz w:val="24"/>
          <w:szCs w:val="24"/>
          <w:lang w:val="en-US"/>
        </w:rPr>
        <w:t xml:space="preserve"> increases </w:t>
      </w:r>
      <w:r w:rsidRPr="0063061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greater </w:t>
      </w:r>
      <w:r w:rsidRPr="0063061C">
        <w:rPr>
          <w:rFonts w:ascii="Times New Roman" w:hAnsi="Times New Roman" w:cs="Times New Roman"/>
          <w:sz w:val="24"/>
          <w:szCs w:val="24"/>
          <w:lang w:val="en-US"/>
        </w:rPr>
        <w:t xml:space="preserve">transparency </w:t>
      </w:r>
      <w:r>
        <w:rPr>
          <w:rFonts w:ascii="Times New Roman" w:hAnsi="Times New Roman" w:cs="Times New Roman"/>
          <w:sz w:val="24"/>
          <w:szCs w:val="24"/>
          <w:lang w:val="en-US"/>
        </w:rPr>
        <w:t xml:space="preserve"> on the</w:t>
      </w:r>
      <w:r w:rsidRPr="0063061C">
        <w:rPr>
          <w:rFonts w:ascii="Times New Roman" w:hAnsi="Times New Roman" w:cs="Times New Roman"/>
          <w:sz w:val="24"/>
          <w:szCs w:val="24"/>
          <w:lang w:val="en-US"/>
        </w:rPr>
        <w:t xml:space="preserve"> Russian financ</w:t>
      </w:r>
      <w:r>
        <w:rPr>
          <w:rFonts w:ascii="Times New Roman" w:hAnsi="Times New Roman" w:cs="Times New Roman"/>
          <w:sz w:val="24"/>
          <w:szCs w:val="24"/>
          <w:lang w:val="en-US"/>
        </w:rPr>
        <w:t>ial m</w:t>
      </w:r>
      <w:r w:rsidRPr="0063061C">
        <w:rPr>
          <w:rFonts w:ascii="Times New Roman" w:hAnsi="Times New Roman" w:cs="Times New Roman"/>
          <w:sz w:val="24"/>
          <w:szCs w:val="24"/>
          <w:lang w:val="en-US"/>
        </w:rPr>
        <w:t>arket.</w:t>
      </w:r>
    </w:p>
    <w:p w:rsidR="00D55472" w:rsidRPr="0063061C" w:rsidRDefault="00D55472" w:rsidP="00D55472">
      <w:pPr>
        <w:spacing w:after="120" w:line="240" w:lineRule="auto"/>
        <w:ind w:firstLine="567"/>
        <w:jc w:val="both"/>
        <w:rPr>
          <w:rFonts w:ascii="Times New Roman" w:hAnsi="Times New Roman" w:cs="Times New Roman"/>
          <w:sz w:val="24"/>
          <w:szCs w:val="24"/>
          <w:lang w:val="en-US"/>
        </w:rPr>
      </w:pPr>
      <w:r w:rsidRPr="0063061C">
        <w:rPr>
          <w:rFonts w:ascii="Times New Roman" w:hAnsi="Times New Roman" w:cs="Times New Roman"/>
          <w:sz w:val="24"/>
          <w:szCs w:val="24"/>
          <w:lang w:val="en-US"/>
        </w:rPr>
        <w:t>In accordance with the requirements of Federal Law No. 7-FZ dated 07.02.2011</w:t>
      </w:r>
      <w:r w:rsidRPr="0063061C">
        <w:rPr>
          <w:rFonts w:ascii="Times New Roman" w:eastAsia="Times New Roman" w:hAnsi="Times New Roman" w:cs="Times New Roman"/>
          <w:sz w:val="24"/>
          <w:szCs w:val="24"/>
          <w:lang w:val="en-US" w:eastAsia="ru-RU"/>
        </w:rPr>
        <w:t xml:space="preserve"> </w:t>
      </w:r>
      <w:r w:rsidRPr="0063061C">
        <w:rPr>
          <w:rFonts w:ascii="Times New Roman" w:hAnsi="Times New Roman" w:cs="Times New Roman"/>
          <w:sz w:val="24"/>
          <w:szCs w:val="24"/>
          <w:lang w:val="en-US"/>
        </w:rPr>
        <w:t xml:space="preserve">"On Clearing and Clearing activities" NCC created the Committee on Risks which reports to the Supervisory Board. Pursuant to the requirements of the mentioned Law, at least half of the members of Committee on Risks </w:t>
      </w:r>
      <w:r>
        <w:rPr>
          <w:rFonts w:ascii="Times New Roman" w:hAnsi="Times New Roman" w:cs="Times New Roman"/>
          <w:sz w:val="24"/>
          <w:szCs w:val="24"/>
          <w:lang w:val="en-US"/>
        </w:rPr>
        <w:t xml:space="preserve">must be </w:t>
      </w:r>
      <w:r w:rsidRPr="0063061C">
        <w:rPr>
          <w:rFonts w:ascii="Times New Roman" w:hAnsi="Times New Roman" w:cs="Times New Roman"/>
          <w:sz w:val="24"/>
          <w:szCs w:val="24"/>
          <w:lang w:val="en-US"/>
        </w:rPr>
        <w:t xml:space="preserve">clearing participants. The Committee is authorized to </w:t>
      </w:r>
      <w:r>
        <w:rPr>
          <w:rFonts w:ascii="Times New Roman" w:hAnsi="Times New Roman" w:cs="Times New Roman"/>
          <w:sz w:val="24"/>
          <w:szCs w:val="24"/>
          <w:lang w:val="en-US"/>
        </w:rPr>
        <w:t>address</w:t>
      </w:r>
      <w:r w:rsidRPr="0063061C">
        <w:rPr>
          <w:rFonts w:ascii="Times New Roman" w:hAnsi="Times New Roman" w:cs="Times New Roman"/>
          <w:sz w:val="24"/>
          <w:szCs w:val="24"/>
          <w:lang w:val="en-US"/>
        </w:rPr>
        <w:t xml:space="preserve"> NCC</w:t>
      </w:r>
      <w:r>
        <w:rPr>
          <w:rFonts w:ascii="Times New Roman" w:hAnsi="Times New Roman" w:cs="Times New Roman"/>
          <w:sz w:val="24"/>
          <w:szCs w:val="24"/>
          <w:lang w:val="en-US"/>
        </w:rPr>
        <w:t>’s</w:t>
      </w:r>
      <w:r w:rsidRPr="0063061C">
        <w:rPr>
          <w:rFonts w:ascii="Times New Roman" w:hAnsi="Times New Roman" w:cs="Times New Roman"/>
          <w:sz w:val="24"/>
          <w:szCs w:val="24"/>
          <w:lang w:val="en-US"/>
        </w:rPr>
        <w:t xml:space="preserve"> internal </w:t>
      </w:r>
      <w:r>
        <w:rPr>
          <w:rFonts w:ascii="Times New Roman" w:hAnsi="Times New Roman" w:cs="Times New Roman"/>
          <w:sz w:val="24"/>
          <w:szCs w:val="24"/>
          <w:lang w:val="en-US"/>
        </w:rPr>
        <w:t>policies and rules</w:t>
      </w:r>
      <w:r w:rsidRPr="0063061C">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63061C">
        <w:rPr>
          <w:rFonts w:ascii="Times New Roman" w:hAnsi="Times New Roman" w:cs="Times New Roman"/>
          <w:sz w:val="24"/>
          <w:szCs w:val="24"/>
          <w:lang w:val="en-US"/>
        </w:rPr>
        <w:t xml:space="preserve"> risk management</w:t>
      </w:r>
      <w:r>
        <w:rPr>
          <w:rFonts w:ascii="Times New Roman" w:hAnsi="Times New Roman" w:cs="Times New Roman"/>
          <w:sz w:val="24"/>
          <w:szCs w:val="24"/>
          <w:lang w:val="en-US"/>
        </w:rPr>
        <w:t>,</w:t>
      </w:r>
      <w:r w:rsidRPr="0063061C">
        <w:rPr>
          <w:rFonts w:ascii="Times New Roman" w:hAnsi="Times New Roman" w:cs="Times New Roman"/>
          <w:sz w:val="24"/>
          <w:szCs w:val="24"/>
          <w:lang w:val="en-US"/>
        </w:rPr>
        <w:t xml:space="preserve"> clearing</w:t>
      </w:r>
      <w:r>
        <w:rPr>
          <w:rFonts w:ascii="Times New Roman" w:hAnsi="Times New Roman" w:cs="Times New Roman"/>
          <w:sz w:val="24"/>
          <w:szCs w:val="24"/>
          <w:lang w:val="en-US"/>
        </w:rPr>
        <w:t xml:space="preserve"> and</w:t>
      </w:r>
      <w:r w:rsidRPr="0063061C">
        <w:rPr>
          <w:rFonts w:ascii="Times New Roman" w:hAnsi="Times New Roman" w:cs="Times New Roman"/>
          <w:sz w:val="24"/>
          <w:szCs w:val="24"/>
          <w:lang w:val="en-US"/>
        </w:rPr>
        <w:t xml:space="preserve"> </w:t>
      </w:r>
      <w:r>
        <w:rPr>
          <w:rFonts w:ascii="Times New Roman" w:hAnsi="Times New Roman" w:cs="Times New Roman"/>
          <w:sz w:val="24"/>
          <w:szCs w:val="24"/>
          <w:lang w:val="en-US"/>
        </w:rPr>
        <w:t>business continuity</w:t>
      </w:r>
      <w:r w:rsidRPr="0063061C">
        <w:rPr>
          <w:rFonts w:ascii="Times New Roman" w:hAnsi="Times New Roman" w:cs="Times New Roman"/>
          <w:sz w:val="24"/>
          <w:szCs w:val="24"/>
          <w:lang w:val="en-US"/>
        </w:rPr>
        <w:t>.</w:t>
      </w:r>
    </w:p>
    <w:p w:rsidR="00D55472" w:rsidRPr="0063061C" w:rsidRDefault="00D55472" w:rsidP="00D55472">
      <w:pPr>
        <w:spacing w:after="120" w:line="240" w:lineRule="auto"/>
        <w:ind w:firstLine="567"/>
        <w:jc w:val="both"/>
        <w:rPr>
          <w:rFonts w:ascii="Times New Roman" w:hAnsi="Times New Roman" w:cs="Times New Roman"/>
          <w:sz w:val="24"/>
          <w:szCs w:val="24"/>
          <w:lang w:val="en-US"/>
        </w:rPr>
      </w:pPr>
    </w:p>
    <w:p w:rsidR="00D55472" w:rsidRPr="0063061C" w:rsidRDefault="00D55472" w:rsidP="00D55472">
      <w:pPr>
        <w:spacing w:before="100" w:after="120" w:line="240" w:lineRule="auto"/>
        <w:jc w:val="center"/>
        <w:rPr>
          <w:rFonts w:ascii="Times New Roman" w:hAnsi="Times New Roman" w:cs="Times New Roman"/>
          <w:b/>
          <w:i/>
          <w:sz w:val="24"/>
          <w:szCs w:val="24"/>
          <w:lang w:val="en-US"/>
        </w:rPr>
      </w:pPr>
      <w:r w:rsidRPr="0063061C">
        <w:rPr>
          <w:rFonts w:ascii="Times New Roman" w:hAnsi="Times New Roman" w:cs="Times New Roman"/>
          <w:b/>
          <w:sz w:val="24"/>
          <w:szCs w:val="24"/>
          <w:lang w:val="en-US"/>
        </w:rPr>
        <w:t>II</w:t>
      </w:r>
      <w:proofErr w:type="gramStart"/>
      <w:r w:rsidRPr="0063061C">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Risk</w:t>
      </w:r>
      <w:proofErr w:type="gramEnd"/>
      <w:r>
        <w:rPr>
          <w:rFonts w:ascii="Times New Roman" w:hAnsi="Times New Roman" w:cs="Times New Roman"/>
          <w:b/>
          <w:sz w:val="24"/>
          <w:szCs w:val="24"/>
          <w:lang w:val="en-US"/>
        </w:rPr>
        <w:t xml:space="preserve"> management of Clearing Organization and Central Counterparty.</w:t>
      </w:r>
    </w:p>
    <w:p w:rsidR="00D55472" w:rsidRPr="0063061C" w:rsidRDefault="00D55472" w:rsidP="00D55472">
      <w:pPr>
        <w:spacing w:after="120" w:line="240" w:lineRule="auto"/>
        <w:ind w:firstLine="567"/>
        <w:jc w:val="both"/>
        <w:rPr>
          <w:rFonts w:ascii="Times New Roman" w:hAnsi="Times New Roman" w:cs="Times New Roman"/>
          <w:sz w:val="24"/>
          <w:szCs w:val="24"/>
          <w:lang w:val="en-US"/>
        </w:rPr>
      </w:pPr>
      <w:r w:rsidRPr="0063061C">
        <w:rPr>
          <w:rFonts w:ascii="Times New Roman" w:hAnsi="Times New Roman" w:cs="Times New Roman"/>
          <w:sz w:val="24"/>
          <w:szCs w:val="24"/>
          <w:lang w:val="en-US"/>
        </w:rPr>
        <w:t xml:space="preserve">Development of risk management </w:t>
      </w:r>
      <w:r>
        <w:rPr>
          <w:rFonts w:ascii="Times New Roman" w:hAnsi="Times New Roman" w:cs="Times New Roman"/>
          <w:sz w:val="24"/>
          <w:szCs w:val="24"/>
          <w:lang w:val="en-US"/>
        </w:rPr>
        <w:t>framework</w:t>
      </w:r>
      <w:r w:rsidRPr="0063061C">
        <w:rPr>
          <w:rFonts w:ascii="Times New Roman" w:hAnsi="Times New Roman" w:cs="Times New Roman"/>
          <w:sz w:val="24"/>
          <w:szCs w:val="24"/>
          <w:lang w:val="en-US"/>
        </w:rPr>
        <w:t xml:space="preserve"> of NCC in 2013 was primarily </w:t>
      </w:r>
      <w:r>
        <w:rPr>
          <w:rFonts w:ascii="Times New Roman" w:hAnsi="Times New Roman" w:cs="Times New Roman"/>
          <w:sz w:val="24"/>
          <w:szCs w:val="24"/>
          <w:lang w:val="en-US"/>
        </w:rPr>
        <w:t>aimed</w:t>
      </w:r>
      <w:r w:rsidRPr="0063061C">
        <w:rPr>
          <w:rFonts w:ascii="Times New Roman" w:hAnsi="Times New Roman" w:cs="Times New Roman"/>
          <w:sz w:val="24"/>
          <w:szCs w:val="24"/>
          <w:lang w:val="en-US"/>
        </w:rPr>
        <w:t xml:space="preserve"> at ensuring </w:t>
      </w:r>
      <w:r>
        <w:rPr>
          <w:rFonts w:ascii="Times New Roman" w:hAnsi="Times New Roman" w:cs="Times New Roman"/>
          <w:sz w:val="24"/>
          <w:szCs w:val="24"/>
          <w:lang w:val="en-US"/>
        </w:rPr>
        <w:t xml:space="preserve">NCC’s </w:t>
      </w:r>
      <w:r w:rsidRPr="0063061C">
        <w:rPr>
          <w:rFonts w:ascii="Times New Roman" w:hAnsi="Times New Roman" w:cs="Times New Roman"/>
          <w:sz w:val="24"/>
          <w:szCs w:val="24"/>
          <w:lang w:val="en-US"/>
        </w:rPr>
        <w:t xml:space="preserve">financial stability and </w:t>
      </w:r>
      <w:r>
        <w:rPr>
          <w:rFonts w:ascii="Times New Roman" w:hAnsi="Times New Roman" w:cs="Times New Roman"/>
          <w:sz w:val="24"/>
          <w:szCs w:val="24"/>
          <w:lang w:val="en-US"/>
        </w:rPr>
        <w:t>resilience</w:t>
      </w:r>
      <w:r w:rsidRPr="0063061C">
        <w:rPr>
          <w:rFonts w:ascii="Times New Roman" w:hAnsi="Times New Roman" w:cs="Times New Roman"/>
          <w:sz w:val="24"/>
          <w:szCs w:val="24"/>
          <w:lang w:val="en-US"/>
        </w:rPr>
        <w:t xml:space="preserve"> as </w:t>
      </w:r>
      <w:r>
        <w:rPr>
          <w:rFonts w:ascii="Times New Roman" w:hAnsi="Times New Roman" w:cs="Times New Roman"/>
          <w:sz w:val="24"/>
          <w:szCs w:val="24"/>
          <w:lang w:val="en-US"/>
        </w:rPr>
        <w:t xml:space="preserve">a </w:t>
      </w:r>
      <w:r w:rsidRPr="0063061C">
        <w:rPr>
          <w:rFonts w:ascii="Times New Roman" w:hAnsi="Times New Roman" w:cs="Times New Roman"/>
          <w:sz w:val="24"/>
          <w:szCs w:val="24"/>
          <w:lang w:val="en-US"/>
        </w:rPr>
        <w:t xml:space="preserve">clearing organization and </w:t>
      </w:r>
      <w:r>
        <w:rPr>
          <w:rFonts w:ascii="Times New Roman" w:hAnsi="Times New Roman" w:cs="Times New Roman"/>
          <w:sz w:val="24"/>
          <w:szCs w:val="24"/>
          <w:lang w:val="en-US"/>
        </w:rPr>
        <w:t xml:space="preserve">a </w:t>
      </w:r>
      <w:r w:rsidRPr="0063061C">
        <w:rPr>
          <w:rFonts w:ascii="Times New Roman" w:hAnsi="Times New Roman" w:cs="Times New Roman"/>
          <w:sz w:val="24"/>
          <w:szCs w:val="24"/>
          <w:lang w:val="en-US"/>
        </w:rPr>
        <w:t>central counterparty, and was carried out in the following main directions:</w:t>
      </w:r>
    </w:p>
    <w:p w:rsidR="00D55472" w:rsidRPr="0063061C" w:rsidRDefault="00D55472" w:rsidP="00472CA4">
      <w:pPr>
        <w:numPr>
          <w:ilvl w:val="0"/>
          <w:numId w:val="42"/>
        </w:numPr>
        <w:spacing w:after="120" w:line="240" w:lineRule="auto"/>
        <w:ind w:left="1417" w:hanging="567"/>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To maintain</w:t>
      </w:r>
      <w:r w:rsidRPr="0063061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sufficient </w:t>
      </w:r>
      <w:r w:rsidRPr="0063061C">
        <w:rPr>
          <w:rFonts w:ascii="Times New Roman" w:eastAsia="Calibri" w:hAnsi="Times New Roman" w:cs="Times New Roman"/>
          <w:sz w:val="24"/>
          <w:szCs w:val="24"/>
          <w:lang w:val="en-US"/>
        </w:rPr>
        <w:t>financial resources for settlements under normal and extreme market conditions;</w:t>
      </w:r>
    </w:p>
    <w:p w:rsidR="00D55472" w:rsidRPr="0063061C" w:rsidRDefault="00D55472" w:rsidP="00472CA4">
      <w:pPr>
        <w:numPr>
          <w:ilvl w:val="0"/>
          <w:numId w:val="42"/>
        </w:numPr>
        <w:spacing w:after="120" w:line="240" w:lineRule="auto"/>
        <w:ind w:left="1417" w:hanging="567"/>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To </w:t>
      </w:r>
      <w:r w:rsidRPr="0063061C">
        <w:rPr>
          <w:rFonts w:ascii="Times New Roman" w:eastAsia="Calibri" w:hAnsi="Times New Roman" w:cs="Times New Roman"/>
          <w:sz w:val="24"/>
          <w:szCs w:val="24"/>
          <w:lang w:val="en-US"/>
        </w:rPr>
        <w:t>develop default</w:t>
      </w:r>
      <w:r>
        <w:rPr>
          <w:rFonts w:ascii="Times New Roman" w:eastAsia="Calibri" w:hAnsi="Times New Roman" w:cs="Times New Roman"/>
          <w:sz w:val="24"/>
          <w:szCs w:val="24"/>
          <w:lang w:val="en-US"/>
        </w:rPr>
        <w:t xml:space="preserve"> </w:t>
      </w:r>
      <w:r w:rsidRPr="0063061C">
        <w:rPr>
          <w:rFonts w:ascii="Times New Roman" w:eastAsia="Calibri" w:hAnsi="Times New Roman" w:cs="Times New Roman"/>
          <w:sz w:val="24"/>
          <w:szCs w:val="24"/>
          <w:lang w:val="en-US"/>
        </w:rPr>
        <w:t>management procedure</w:t>
      </w:r>
      <w:r>
        <w:rPr>
          <w:rFonts w:ascii="Times New Roman" w:eastAsia="Calibri" w:hAnsi="Times New Roman" w:cs="Times New Roman"/>
          <w:sz w:val="24"/>
          <w:szCs w:val="24"/>
          <w:lang w:val="en-US"/>
        </w:rPr>
        <w:t xml:space="preserve"> protecting NCC from potential losses in case of  clearing participants’ default</w:t>
      </w:r>
      <w:r w:rsidRPr="0063061C">
        <w:rPr>
          <w:rFonts w:ascii="Times New Roman" w:eastAsia="Calibri" w:hAnsi="Times New Roman" w:cs="Times New Roman"/>
          <w:sz w:val="24"/>
          <w:szCs w:val="24"/>
          <w:lang w:val="en-US"/>
        </w:rPr>
        <w:t>;</w:t>
      </w:r>
    </w:p>
    <w:p w:rsidR="00D55472" w:rsidRPr="0063061C" w:rsidRDefault="00D55472" w:rsidP="00472CA4">
      <w:pPr>
        <w:numPr>
          <w:ilvl w:val="0"/>
          <w:numId w:val="42"/>
        </w:numPr>
        <w:spacing w:after="120" w:line="240" w:lineRule="auto"/>
        <w:ind w:left="1417" w:hanging="567"/>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To </w:t>
      </w:r>
      <w:r w:rsidRPr="0063061C">
        <w:rPr>
          <w:rFonts w:ascii="Times New Roman" w:eastAsia="Calibri" w:hAnsi="Times New Roman" w:cs="Times New Roman"/>
          <w:sz w:val="24"/>
          <w:szCs w:val="24"/>
          <w:lang w:val="en-US"/>
        </w:rPr>
        <w:t>improv</w:t>
      </w:r>
      <w:r>
        <w:rPr>
          <w:rFonts w:ascii="Times New Roman" w:eastAsia="Calibri" w:hAnsi="Times New Roman" w:cs="Times New Roman"/>
          <w:sz w:val="24"/>
          <w:szCs w:val="24"/>
          <w:lang w:val="en-US"/>
        </w:rPr>
        <w:t>e</w:t>
      </w:r>
      <w:r w:rsidRPr="0063061C">
        <w:rPr>
          <w:rFonts w:ascii="Times New Roman" w:eastAsia="Calibri" w:hAnsi="Times New Roman" w:cs="Times New Roman"/>
          <w:sz w:val="24"/>
          <w:szCs w:val="24"/>
          <w:lang w:val="en-US"/>
        </w:rPr>
        <w:t xml:space="preserve"> risk assessment m</w:t>
      </w:r>
      <w:r>
        <w:rPr>
          <w:rFonts w:ascii="Times New Roman" w:eastAsia="Calibri" w:hAnsi="Times New Roman" w:cs="Times New Roman"/>
          <w:sz w:val="24"/>
          <w:szCs w:val="24"/>
          <w:lang w:val="en-US"/>
        </w:rPr>
        <w:t>odels</w:t>
      </w:r>
      <w:r w:rsidRPr="0063061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required</w:t>
      </w:r>
      <w:r w:rsidRPr="0063061C">
        <w:rPr>
          <w:rFonts w:ascii="Times New Roman" w:eastAsia="Calibri" w:hAnsi="Times New Roman" w:cs="Times New Roman"/>
          <w:sz w:val="24"/>
          <w:szCs w:val="24"/>
          <w:lang w:val="en-US"/>
        </w:rPr>
        <w:t xml:space="preserve"> for providing</w:t>
      </w:r>
      <w:r>
        <w:rPr>
          <w:rFonts w:ascii="Times New Roman" w:eastAsia="Calibri" w:hAnsi="Times New Roman" w:cs="Times New Roman"/>
          <w:sz w:val="24"/>
          <w:szCs w:val="24"/>
          <w:lang w:val="en-US"/>
        </w:rPr>
        <w:t xml:space="preserve"> by</w:t>
      </w:r>
      <w:r w:rsidRPr="0063061C">
        <w:rPr>
          <w:rFonts w:ascii="Times New Roman" w:eastAsia="Calibri" w:hAnsi="Times New Roman" w:cs="Times New Roman"/>
          <w:sz w:val="24"/>
          <w:szCs w:val="24"/>
          <w:lang w:val="en-US"/>
        </w:rPr>
        <w:t xml:space="preserve"> NCC new clearing products (project T+2, </w:t>
      </w:r>
      <w:r>
        <w:rPr>
          <w:rFonts w:ascii="Times New Roman" w:eastAsia="Calibri" w:hAnsi="Times New Roman" w:cs="Times New Roman"/>
          <w:sz w:val="24"/>
          <w:szCs w:val="24"/>
          <w:lang w:val="en-US"/>
        </w:rPr>
        <w:t xml:space="preserve">REPO </w:t>
      </w:r>
      <w:r w:rsidRPr="0063061C">
        <w:rPr>
          <w:rFonts w:ascii="Times New Roman" w:eastAsia="Calibri" w:hAnsi="Times New Roman" w:cs="Times New Roman"/>
          <w:sz w:val="24"/>
          <w:szCs w:val="24"/>
          <w:lang w:val="en-US"/>
        </w:rPr>
        <w:t xml:space="preserve">with CCP, </w:t>
      </w:r>
      <w:r>
        <w:rPr>
          <w:rFonts w:ascii="Times New Roman" w:eastAsia="Calibri" w:hAnsi="Times New Roman" w:cs="Times New Roman"/>
          <w:sz w:val="24"/>
          <w:szCs w:val="24"/>
          <w:lang w:val="en-US"/>
        </w:rPr>
        <w:t>implementation</w:t>
      </w:r>
      <w:r w:rsidRPr="0063061C">
        <w:rPr>
          <w:rFonts w:ascii="Times New Roman" w:eastAsia="Calibri" w:hAnsi="Times New Roman" w:cs="Times New Roman"/>
          <w:sz w:val="24"/>
          <w:szCs w:val="24"/>
          <w:lang w:val="en-US"/>
        </w:rPr>
        <w:t xml:space="preserve"> of clearing of standardized derivatives, </w:t>
      </w:r>
      <w:r>
        <w:rPr>
          <w:rFonts w:ascii="Times New Roman" w:eastAsia="Calibri" w:hAnsi="Times New Roman" w:cs="Times New Roman"/>
          <w:sz w:val="24"/>
          <w:szCs w:val="24"/>
          <w:lang w:val="en-US"/>
        </w:rPr>
        <w:t xml:space="preserve">establishment of </w:t>
      </w:r>
      <w:r w:rsidRPr="0063061C">
        <w:rPr>
          <w:rFonts w:ascii="Times New Roman" w:hAnsi="Times New Roman" w:cs="Times New Roman"/>
          <w:sz w:val="24"/>
          <w:szCs w:val="24"/>
          <w:lang w:val="en-US"/>
        </w:rPr>
        <w:t>precious metals trading</w:t>
      </w:r>
      <w:r w:rsidRPr="0063061C">
        <w:rPr>
          <w:rFonts w:ascii="Times New Roman" w:eastAsia="Calibri" w:hAnsi="Times New Roman" w:cs="Times New Roman"/>
          <w:sz w:val="24"/>
          <w:szCs w:val="24"/>
          <w:lang w:val="en-US"/>
        </w:rPr>
        <w:t>);</w:t>
      </w:r>
    </w:p>
    <w:p w:rsidR="00D55472" w:rsidRPr="0063061C" w:rsidRDefault="00D55472" w:rsidP="00472CA4">
      <w:pPr>
        <w:numPr>
          <w:ilvl w:val="0"/>
          <w:numId w:val="42"/>
        </w:numPr>
        <w:spacing w:after="120" w:line="240" w:lineRule="auto"/>
        <w:ind w:left="1417" w:hanging="567"/>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To </w:t>
      </w:r>
      <w:r w:rsidRPr="0063061C">
        <w:rPr>
          <w:rFonts w:ascii="Times New Roman" w:eastAsia="Calibri" w:hAnsi="Times New Roman" w:cs="Times New Roman"/>
          <w:sz w:val="24"/>
          <w:szCs w:val="24"/>
          <w:lang w:val="en-US"/>
        </w:rPr>
        <w:t xml:space="preserve">implement </w:t>
      </w:r>
      <w:r>
        <w:rPr>
          <w:rFonts w:ascii="Times New Roman" w:eastAsia="Calibri" w:hAnsi="Times New Roman" w:cs="Times New Roman"/>
          <w:sz w:val="24"/>
          <w:szCs w:val="24"/>
          <w:lang w:val="en-US"/>
        </w:rPr>
        <w:t xml:space="preserve">the measures </w:t>
      </w:r>
      <w:r w:rsidRPr="0063061C">
        <w:rPr>
          <w:rFonts w:ascii="Times New Roman" w:eastAsia="Calibri" w:hAnsi="Times New Roman" w:cs="Times New Roman"/>
          <w:sz w:val="24"/>
          <w:szCs w:val="24"/>
          <w:lang w:val="en-US"/>
        </w:rPr>
        <w:t xml:space="preserve">ensuring that current activities of NCC are </w:t>
      </w:r>
      <w:r>
        <w:rPr>
          <w:rFonts w:ascii="Times New Roman" w:eastAsia="Calibri" w:hAnsi="Times New Roman" w:cs="Times New Roman"/>
          <w:sz w:val="24"/>
          <w:szCs w:val="24"/>
          <w:lang w:val="en-US"/>
        </w:rPr>
        <w:t>compliant</w:t>
      </w:r>
      <w:r w:rsidRPr="0063061C">
        <w:rPr>
          <w:rFonts w:ascii="Times New Roman" w:eastAsia="Calibri" w:hAnsi="Times New Roman" w:cs="Times New Roman"/>
          <w:sz w:val="24"/>
          <w:szCs w:val="24"/>
          <w:lang w:val="en-US"/>
        </w:rPr>
        <w:t xml:space="preserve"> with the Bank of Russia requirements for </w:t>
      </w:r>
      <w:r>
        <w:rPr>
          <w:rFonts w:ascii="Times New Roman" w:eastAsia="Calibri" w:hAnsi="Times New Roman" w:cs="Times New Roman"/>
          <w:sz w:val="24"/>
          <w:szCs w:val="24"/>
          <w:lang w:val="en-US"/>
        </w:rPr>
        <w:t xml:space="preserve">qualifying </w:t>
      </w:r>
      <w:r w:rsidRPr="0063061C">
        <w:rPr>
          <w:rFonts w:ascii="Times New Roman" w:eastAsia="Calibri" w:hAnsi="Times New Roman" w:cs="Times New Roman"/>
          <w:sz w:val="24"/>
          <w:szCs w:val="24"/>
          <w:lang w:val="en-US"/>
        </w:rPr>
        <w:t xml:space="preserve">central counterparties in accordance with requirements of </w:t>
      </w:r>
      <w:r w:rsidRPr="0063061C">
        <w:rPr>
          <w:rFonts w:ascii="Times New Roman" w:eastAsia="Times New Roman" w:hAnsi="Times New Roman" w:cs="Times New Roman"/>
          <w:sz w:val="24"/>
          <w:szCs w:val="24"/>
          <w:lang w:val="en-US" w:eastAsia="ru-RU"/>
        </w:rPr>
        <w:t>Guides No. 2919-U</w:t>
      </w:r>
      <w:r w:rsidRPr="0063061C">
        <w:rPr>
          <w:rFonts w:ascii="Times New Roman" w:eastAsia="Calibri" w:hAnsi="Times New Roman" w:cs="Times New Roman"/>
          <w:sz w:val="24"/>
          <w:szCs w:val="24"/>
          <w:lang w:val="en-US"/>
        </w:rPr>
        <w:t>;</w:t>
      </w:r>
    </w:p>
    <w:p w:rsidR="00D55472" w:rsidRPr="0063061C" w:rsidRDefault="00D55472" w:rsidP="00472CA4">
      <w:pPr>
        <w:numPr>
          <w:ilvl w:val="0"/>
          <w:numId w:val="42"/>
        </w:numPr>
        <w:spacing w:after="120" w:line="240" w:lineRule="auto"/>
        <w:ind w:left="1417" w:hanging="567"/>
        <w:contextualSpacing/>
        <w:jc w:val="both"/>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To </w:t>
      </w:r>
      <w:r w:rsidRPr="0063061C">
        <w:rPr>
          <w:rFonts w:ascii="Times New Roman" w:hAnsi="Times New Roman" w:cs="Times New Roman"/>
          <w:sz w:val="24"/>
          <w:szCs w:val="24"/>
          <w:lang w:val="en-US"/>
        </w:rPr>
        <w:t>provid</w:t>
      </w:r>
      <w:r>
        <w:rPr>
          <w:rFonts w:ascii="Times New Roman" w:hAnsi="Times New Roman" w:cs="Times New Roman"/>
          <w:sz w:val="24"/>
          <w:szCs w:val="24"/>
          <w:lang w:val="en-US"/>
        </w:rPr>
        <w:t>e</w:t>
      </w:r>
      <w:r w:rsidRPr="0063061C">
        <w:rPr>
          <w:rFonts w:ascii="Times New Roman" w:hAnsi="Times New Roman" w:cs="Times New Roman"/>
          <w:sz w:val="24"/>
          <w:szCs w:val="24"/>
          <w:lang w:val="en-US"/>
        </w:rPr>
        <w:t xml:space="preserve"> informational transparency </w:t>
      </w:r>
      <w:proofErr w:type="gramStart"/>
      <w:r w:rsidRPr="0063061C">
        <w:rPr>
          <w:rFonts w:ascii="Times New Roman" w:hAnsi="Times New Roman" w:cs="Times New Roman"/>
          <w:sz w:val="24"/>
          <w:szCs w:val="24"/>
          <w:lang w:val="en-US"/>
        </w:rPr>
        <w:t>which</w:t>
      </w:r>
      <w:r w:rsidR="009708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enables </w:t>
      </w:r>
      <w:r w:rsidRPr="0063061C">
        <w:rPr>
          <w:rFonts w:ascii="Times New Roman" w:hAnsi="Times New Roman" w:cs="Times New Roman"/>
          <w:sz w:val="24"/>
          <w:szCs w:val="24"/>
          <w:lang w:val="en-US"/>
        </w:rPr>
        <w:t xml:space="preserve">clearing participants to </w:t>
      </w:r>
      <w:r w:rsidRPr="0063061C">
        <w:rPr>
          <w:rFonts w:ascii="Times New Roman" w:eastAsia="Calibri" w:hAnsi="Times New Roman" w:cs="Times New Roman"/>
          <w:sz w:val="24"/>
          <w:szCs w:val="24"/>
          <w:lang w:val="en-US"/>
        </w:rPr>
        <w:t>assess the</w:t>
      </w:r>
      <w:r>
        <w:rPr>
          <w:rFonts w:ascii="Times New Roman" w:eastAsia="Calibri" w:hAnsi="Times New Roman" w:cs="Times New Roman"/>
          <w:sz w:val="24"/>
          <w:szCs w:val="24"/>
          <w:lang w:val="en-US"/>
        </w:rPr>
        <w:t>ir</w:t>
      </w:r>
      <w:r w:rsidRPr="0063061C">
        <w:rPr>
          <w:rFonts w:ascii="Times New Roman" w:eastAsia="Calibri" w:hAnsi="Times New Roman" w:cs="Times New Roman"/>
          <w:sz w:val="24"/>
          <w:szCs w:val="24"/>
          <w:lang w:val="en-US"/>
        </w:rPr>
        <w:t xml:space="preserve"> risks </w:t>
      </w:r>
      <w:hyperlink r:id="rId18" w:history="1">
        <w:r w:rsidRPr="0063061C">
          <w:rPr>
            <w:rFonts w:ascii="Times New Roman" w:eastAsia="Calibri" w:hAnsi="Times New Roman" w:cs="Times New Roman"/>
            <w:sz w:val="24"/>
            <w:szCs w:val="24"/>
            <w:lang w:val="en-US"/>
          </w:rPr>
          <w:t>adequately</w:t>
        </w:r>
      </w:hyperlink>
      <w:r w:rsidR="004A635D" w:rsidRPr="004A635D">
        <w:rPr>
          <w:rFonts w:ascii="Times New Roman" w:eastAsia="Calibri" w:hAnsi="Times New Roman" w:cs="Times New Roman"/>
          <w:sz w:val="24"/>
          <w:szCs w:val="24"/>
          <w:lang w:val="en-US"/>
        </w:rPr>
        <w:t xml:space="preserve"> </w:t>
      </w:r>
      <w:r w:rsidRPr="0063061C">
        <w:rPr>
          <w:rFonts w:ascii="Times New Roman" w:eastAsia="Calibri" w:hAnsi="Times New Roman" w:cs="Times New Roman"/>
          <w:sz w:val="24"/>
          <w:szCs w:val="24"/>
          <w:lang w:val="en-US"/>
        </w:rPr>
        <w:t xml:space="preserve">and helps supervisory authorities to control their activities more </w:t>
      </w:r>
      <w:r w:rsidRPr="0063061C">
        <w:rPr>
          <w:rFonts w:ascii="Times New Roman" w:eastAsia="Times New Roman" w:hAnsi="Times New Roman" w:cs="Times New Roman"/>
          <w:sz w:val="24"/>
          <w:szCs w:val="24"/>
          <w:lang w:val="en-US" w:eastAsia="ru-RU"/>
        </w:rPr>
        <w:t>efficient</w:t>
      </w:r>
      <w:r w:rsidRPr="0063061C">
        <w:rPr>
          <w:rFonts w:ascii="Times New Roman" w:eastAsia="Calibri" w:hAnsi="Times New Roman" w:cs="Times New Roman"/>
          <w:sz w:val="24"/>
          <w:szCs w:val="24"/>
          <w:lang w:val="en-US"/>
        </w:rPr>
        <w:t>ly.</w:t>
      </w:r>
      <w:proofErr w:type="gramEnd"/>
    </w:p>
    <w:p w:rsidR="00D55472" w:rsidRPr="0063061C" w:rsidRDefault="00D55472" w:rsidP="00D55472">
      <w:pPr>
        <w:spacing w:before="100" w:after="120" w:line="240" w:lineRule="auto"/>
        <w:jc w:val="center"/>
        <w:rPr>
          <w:rFonts w:ascii="Times New Roman" w:hAnsi="Times New Roman" w:cs="Times New Roman"/>
          <w:b/>
          <w:sz w:val="24"/>
          <w:szCs w:val="24"/>
          <w:lang w:val="en-US"/>
        </w:rPr>
      </w:pPr>
    </w:p>
    <w:p w:rsidR="00D55472" w:rsidRPr="0063061C" w:rsidRDefault="00D55472" w:rsidP="00D55472">
      <w:pPr>
        <w:spacing w:before="100" w:after="120" w:line="240" w:lineRule="auto"/>
        <w:jc w:val="center"/>
        <w:rPr>
          <w:rFonts w:ascii="Times New Roman" w:hAnsi="Times New Roman" w:cs="Times New Roman"/>
          <w:b/>
          <w:sz w:val="24"/>
          <w:szCs w:val="24"/>
          <w:lang w:val="en-US"/>
        </w:rPr>
      </w:pPr>
      <w:r w:rsidRPr="0063061C">
        <w:rPr>
          <w:rFonts w:ascii="Times New Roman" w:hAnsi="Times New Roman" w:cs="Times New Roman"/>
          <w:b/>
          <w:sz w:val="24"/>
          <w:szCs w:val="24"/>
          <w:lang w:val="en-US"/>
        </w:rPr>
        <w:t>Margining of Clearing Participants’ Trades</w:t>
      </w:r>
    </w:p>
    <w:p w:rsidR="00D55472" w:rsidRPr="0063061C" w:rsidRDefault="00D55472" w:rsidP="00D55472">
      <w:pPr>
        <w:spacing w:after="120" w:line="240" w:lineRule="auto"/>
        <w:ind w:firstLine="567"/>
        <w:jc w:val="both"/>
        <w:rPr>
          <w:rFonts w:ascii="Times New Roman" w:hAnsi="Times New Roman" w:cs="Times New Roman"/>
          <w:sz w:val="24"/>
          <w:szCs w:val="24"/>
          <w:lang w:val="en-US"/>
        </w:rPr>
      </w:pPr>
      <w:r w:rsidRPr="0063061C">
        <w:rPr>
          <w:rFonts w:ascii="Times New Roman" w:hAnsi="Times New Roman" w:cs="Times New Roman"/>
          <w:sz w:val="24"/>
          <w:szCs w:val="24"/>
          <w:lang w:val="en-US"/>
        </w:rPr>
        <w:t xml:space="preserve">NCC uses various models for defining requirements to the amount of individual </w:t>
      </w:r>
      <w:r w:rsidRPr="0063061C">
        <w:rPr>
          <w:rFonts w:ascii="Times New Roman" w:hAnsi="Times New Roman" w:cs="Times New Roman"/>
          <w:kern w:val="24"/>
          <w:sz w:val="24"/>
          <w:szCs w:val="24"/>
          <w:lang w:val="en-US"/>
        </w:rPr>
        <w:t>collateral</w:t>
      </w:r>
      <w:r w:rsidRPr="0063061C">
        <w:rPr>
          <w:rFonts w:ascii="Times New Roman" w:hAnsi="Times New Roman" w:cs="Times New Roman"/>
          <w:sz w:val="24"/>
          <w:szCs w:val="24"/>
          <w:lang w:val="en-US"/>
        </w:rPr>
        <w:t xml:space="preserve"> depending on the specific market. The general characteristics of the models are given in the table:</w:t>
      </w:r>
    </w:p>
    <w:tbl>
      <w:tblPr>
        <w:tblStyle w:val="-2"/>
        <w:tblW w:w="0" w:type="auto"/>
        <w:jc w:val="center"/>
        <w:tblLook w:val="04A0" w:firstRow="1" w:lastRow="0" w:firstColumn="1" w:lastColumn="0" w:noHBand="0" w:noVBand="1"/>
      </w:tblPr>
      <w:tblGrid>
        <w:gridCol w:w="1834"/>
        <w:gridCol w:w="1247"/>
        <w:gridCol w:w="1938"/>
        <w:gridCol w:w="1374"/>
        <w:gridCol w:w="1558"/>
        <w:gridCol w:w="1620"/>
      </w:tblGrid>
      <w:tr w:rsidR="00D55472" w:rsidRPr="009F55B7" w:rsidTr="005B4876">
        <w:trPr>
          <w:cnfStyle w:val="100000000000" w:firstRow="1" w:lastRow="0" w:firstColumn="0" w:lastColumn="0" w:oddVBand="0" w:evenVBand="0" w:oddHBand="0"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9571" w:type="dxa"/>
            <w:gridSpan w:val="6"/>
            <w:shd w:val="clear" w:color="auto" w:fill="CC0000"/>
            <w:vAlign w:val="center"/>
          </w:tcPr>
          <w:p w:rsidR="00D55472" w:rsidRPr="0063061C" w:rsidRDefault="00D55472" w:rsidP="005B4876">
            <w:pPr>
              <w:jc w:val="center"/>
              <w:rPr>
                <w:rFonts w:ascii="Times New Roman" w:hAnsi="Times New Roman" w:cs="Times New Roman"/>
                <w:sz w:val="20"/>
                <w:szCs w:val="20"/>
                <w:lang w:val="en-US"/>
              </w:rPr>
            </w:pPr>
            <w:r w:rsidRPr="0063061C">
              <w:rPr>
                <w:rFonts w:ascii="Times New Roman" w:hAnsi="Times New Roman" w:cs="Times New Roman"/>
                <w:sz w:val="20"/>
                <w:szCs w:val="20"/>
                <w:lang w:val="en-US"/>
              </w:rPr>
              <w:t>Characteristics</w:t>
            </w:r>
            <w:r w:rsidRPr="0063061C">
              <w:rPr>
                <w:rFonts w:ascii="Times New Roman" w:hAnsi="Times New Roman" w:cs="Times New Roman"/>
                <w:kern w:val="24"/>
                <w:sz w:val="20"/>
                <w:szCs w:val="20"/>
                <w:lang w:val="en-US"/>
              </w:rPr>
              <w:t xml:space="preserve"> of </w:t>
            </w:r>
            <w:r w:rsidRPr="0063061C">
              <w:rPr>
                <w:rFonts w:ascii="Times New Roman" w:hAnsi="Times New Roman" w:cs="Times New Roman"/>
                <w:sz w:val="20"/>
                <w:szCs w:val="20"/>
                <w:lang w:val="en-US"/>
              </w:rPr>
              <w:t xml:space="preserve">Margining Models </w:t>
            </w:r>
            <w:r w:rsidRPr="0063061C">
              <w:rPr>
                <w:rFonts w:ascii="Times New Roman" w:hAnsi="Times New Roman" w:cs="Times New Roman"/>
                <w:kern w:val="24"/>
                <w:sz w:val="20"/>
                <w:szCs w:val="20"/>
                <w:lang w:val="en-US"/>
              </w:rPr>
              <w:t>on</w:t>
            </w:r>
            <w:r>
              <w:rPr>
                <w:rFonts w:ascii="Times New Roman" w:hAnsi="Times New Roman" w:cs="Times New Roman"/>
                <w:kern w:val="24"/>
                <w:sz w:val="20"/>
                <w:szCs w:val="20"/>
                <w:lang w:val="en-US"/>
              </w:rPr>
              <w:t xml:space="preserve"> the </w:t>
            </w:r>
            <w:r w:rsidRPr="0063061C">
              <w:rPr>
                <w:rFonts w:ascii="Times New Roman" w:hAnsi="Times New Roman" w:cs="Times New Roman"/>
                <w:kern w:val="24"/>
                <w:sz w:val="20"/>
                <w:szCs w:val="20"/>
                <w:lang w:val="en-US"/>
              </w:rPr>
              <w:t>M</w:t>
            </w:r>
            <w:r>
              <w:rPr>
                <w:rFonts w:ascii="Times New Roman" w:hAnsi="Times New Roman" w:cs="Times New Roman"/>
                <w:kern w:val="24"/>
                <w:sz w:val="20"/>
                <w:szCs w:val="20"/>
                <w:lang w:val="en-US"/>
              </w:rPr>
              <w:t xml:space="preserve">oscow Exchange Group </w:t>
            </w:r>
            <w:r w:rsidRPr="0063061C">
              <w:rPr>
                <w:rFonts w:ascii="Times New Roman" w:hAnsi="Times New Roman" w:cs="Times New Roman"/>
                <w:kern w:val="24"/>
                <w:sz w:val="20"/>
                <w:szCs w:val="20"/>
                <w:lang w:val="en-US"/>
              </w:rPr>
              <w:t xml:space="preserve"> Markets</w:t>
            </w:r>
          </w:p>
        </w:tc>
      </w:tr>
      <w:tr w:rsidR="00D55472" w:rsidRPr="0063061C" w:rsidTr="005B4876">
        <w:trPr>
          <w:cnfStyle w:val="000000100000" w:firstRow="0" w:lastRow="0" w:firstColumn="0" w:lastColumn="0" w:oddVBand="0" w:evenVBand="0" w:oddHBand="1" w:evenHBand="0" w:firstRowFirstColumn="0" w:firstRowLastColumn="0" w:lastRowFirstColumn="0" w:lastRowLastColumn="0"/>
          <w:trHeight w:val="59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8E3432"/>
            <w:vAlign w:val="center"/>
          </w:tcPr>
          <w:p w:rsidR="00D55472" w:rsidRPr="0063061C" w:rsidRDefault="00D55472" w:rsidP="005B4876">
            <w:pPr>
              <w:jc w:val="center"/>
              <w:rPr>
                <w:rFonts w:ascii="Times New Roman" w:hAnsi="Times New Roman" w:cs="Times New Roman"/>
                <w:sz w:val="20"/>
                <w:szCs w:val="20"/>
                <w:lang w:val="en-US"/>
              </w:rPr>
            </w:pPr>
            <w:r w:rsidRPr="0063061C">
              <w:rPr>
                <w:rFonts w:ascii="Times New Roman" w:hAnsi="Times New Roman" w:cs="Times New Roman"/>
                <w:sz w:val="20"/>
                <w:szCs w:val="20"/>
                <w:lang w:val="en-US"/>
              </w:rPr>
              <w:t>Market</w:t>
            </w:r>
          </w:p>
        </w:tc>
        <w:tc>
          <w:tcPr>
            <w:tcW w:w="1276" w:type="dxa"/>
            <w:shd w:val="clear" w:color="auto" w:fill="8E3432"/>
            <w:vAlign w:val="center"/>
          </w:tcPr>
          <w:p w:rsidR="00D55472" w:rsidRPr="0063061C" w:rsidRDefault="00D55472" w:rsidP="005B48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63061C">
              <w:rPr>
                <w:rFonts w:ascii="Times New Roman" w:hAnsi="Times New Roman" w:cs="Times New Roman"/>
                <w:b/>
                <w:sz w:val="20"/>
                <w:szCs w:val="20"/>
                <w:lang w:val="en-US"/>
              </w:rPr>
              <w:t>Margining Model Type</w:t>
            </w:r>
          </w:p>
        </w:tc>
        <w:tc>
          <w:tcPr>
            <w:tcW w:w="1505" w:type="dxa"/>
            <w:shd w:val="clear" w:color="auto" w:fill="8E3432"/>
            <w:vAlign w:val="center"/>
          </w:tcPr>
          <w:p w:rsidR="00D55472" w:rsidRPr="0063061C" w:rsidRDefault="00D55472" w:rsidP="005B48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63061C">
              <w:rPr>
                <w:rFonts w:ascii="Times New Roman" w:hAnsi="Times New Roman" w:cs="Times New Roman"/>
                <w:b/>
                <w:sz w:val="20"/>
                <w:szCs w:val="20"/>
                <w:lang w:val="en-US"/>
              </w:rPr>
              <w:t>Margining Model</w:t>
            </w:r>
          </w:p>
        </w:tc>
        <w:tc>
          <w:tcPr>
            <w:tcW w:w="1399" w:type="dxa"/>
            <w:shd w:val="clear" w:color="auto" w:fill="8E3432"/>
            <w:vAlign w:val="center"/>
          </w:tcPr>
          <w:p w:rsidR="00D55472" w:rsidRPr="0063061C" w:rsidRDefault="00D55472" w:rsidP="005B48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Pr>
                <w:rFonts w:ascii="Times New Roman" w:hAnsi="Times New Roman" w:cs="Times New Roman"/>
                <w:b/>
                <w:sz w:val="20"/>
                <w:szCs w:val="20"/>
                <w:lang w:val="en-US"/>
              </w:rPr>
              <w:t xml:space="preserve">Observation </w:t>
            </w:r>
            <w:r w:rsidRPr="0063061C">
              <w:rPr>
                <w:rFonts w:ascii="Times New Roman" w:hAnsi="Times New Roman" w:cs="Times New Roman"/>
                <w:b/>
                <w:sz w:val="20"/>
                <w:szCs w:val="20"/>
                <w:lang w:val="en-US"/>
              </w:rPr>
              <w:t>Period</w:t>
            </w:r>
          </w:p>
        </w:tc>
        <w:tc>
          <w:tcPr>
            <w:tcW w:w="1718" w:type="dxa"/>
            <w:shd w:val="clear" w:color="auto" w:fill="8E3432"/>
            <w:vAlign w:val="center"/>
          </w:tcPr>
          <w:p w:rsidR="00D55472" w:rsidRPr="0063061C" w:rsidRDefault="00D55472" w:rsidP="005B48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Pr>
                <w:rFonts w:ascii="Times New Roman" w:hAnsi="Times New Roman" w:cs="Times New Roman"/>
                <w:b/>
                <w:sz w:val="20"/>
                <w:szCs w:val="20"/>
                <w:lang w:val="en-US"/>
              </w:rPr>
              <w:t>Holding Period</w:t>
            </w:r>
          </w:p>
        </w:tc>
        <w:tc>
          <w:tcPr>
            <w:tcW w:w="1722" w:type="dxa"/>
            <w:shd w:val="clear" w:color="auto" w:fill="8E3432"/>
            <w:vAlign w:val="center"/>
          </w:tcPr>
          <w:p w:rsidR="00D55472" w:rsidRPr="0063061C" w:rsidRDefault="00D55472" w:rsidP="005B48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Pr>
                <w:rFonts w:ascii="Times New Roman" w:hAnsi="Times New Roman" w:cs="Times New Roman"/>
                <w:b/>
                <w:sz w:val="20"/>
                <w:szCs w:val="20"/>
                <w:lang w:val="en-US"/>
              </w:rPr>
              <w:t>Parameters revision frequency</w:t>
            </w:r>
          </w:p>
        </w:tc>
      </w:tr>
      <w:tr w:rsidR="00D55472" w:rsidRPr="0063061C" w:rsidTr="005B487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vAlign w:val="center"/>
          </w:tcPr>
          <w:p w:rsidR="00D55472" w:rsidRPr="0063061C" w:rsidRDefault="00D55472" w:rsidP="005B4876">
            <w:pPr>
              <w:jc w:val="center"/>
              <w:rPr>
                <w:rFonts w:ascii="Times New Roman" w:hAnsi="Times New Roman" w:cs="Times New Roman"/>
                <w:sz w:val="20"/>
                <w:szCs w:val="20"/>
                <w:lang w:val="en-US"/>
              </w:rPr>
            </w:pPr>
            <w:r w:rsidRPr="0063061C">
              <w:rPr>
                <w:rFonts w:ascii="Times New Roman" w:hAnsi="Times New Roman" w:cs="Times New Roman"/>
                <w:sz w:val="20"/>
                <w:szCs w:val="20"/>
                <w:lang w:val="en-US"/>
              </w:rPr>
              <w:t>Foreign Exchange Market</w:t>
            </w:r>
          </w:p>
        </w:tc>
        <w:tc>
          <w:tcPr>
            <w:tcW w:w="1276" w:type="dxa"/>
            <w:vAlign w:val="center"/>
          </w:tcPr>
          <w:p w:rsidR="00D55472" w:rsidRPr="0063061C" w:rsidRDefault="00D55472" w:rsidP="005B48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lang w:val="en-US"/>
              </w:rPr>
            </w:pPr>
            <w:r w:rsidRPr="0063061C">
              <w:rPr>
                <w:rFonts w:ascii="Times New Roman" w:hAnsi="Times New Roman" w:cs="Times New Roman"/>
                <w:b/>
                <w:sz w:val="20"/>
                <w:szCs w:val="20"/>
                <w:lang w:val="en-US"/>
              </w:rPr>
              <w:t>Empiric</w:t>
            </w:r>
          </w:p>
        </w:tc>
        <w:tc>
          <w:tcPr>
            <w:tcW w:w="1505" w:type="dxa"/>
            <w:vAlign w:val="center"/>
          </w:tcPr>
          <w:p w:rsidR="00D55472" w:rsidRPr="0063061C" w:rsidRDefault="00D55472" w:rsidP="005B48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lang w:val="en-US"/>
              </w:rPr>
            </w:pPr>
            <w:r w:rsidRPr="0063061C">
              <w:rPr>
                <w:rFonts w:ascii="Times New Roman" w:hAnsi="Times New Roman" w:cs="Times New Roman"/>
                <w:b/>
                <w:sz w:val="20"/>
                <w:szCs w:val="20"/>
                <w:lang w:val="en-US"/>
              </w:rPr>
              <w:t>Scenario analys</w:t>
            </w:r>
            <w:r>
              <w:rPr>
                <w:rFonts w:ascii="Times New Roman" w:hAnsi="Times New Roman" w:cs="Times New Roman"/>
                <w:b/>
                <w:sz w:val="20"/>
                <w:szCs w:val="20"/>
                <w:lang w:val="en-US"/>
              </w:rPr>
              <w:t>i</w:t>
            </w:r>
            <w:r w:rsidRPr="0063061C">
              <w:rPr>
                <w:rFonts w:ascii="Times New Roman" w:hAnsi="Times New Roman" w:cs="Times New Roman"/>
                <w:b/>
                <w:sz w:val="20"/>
                <w:szCs w:val="20"/>
                <w:lang w:val="en-US"/>
              </w:rPr>
              <w:t>s (up/down)</w:t>
            </w:r>
          </w:p>
        </w:tc>
        <w:tc>
          <w:tcPr>
            <w:tcW w:w="1399" w:type="dxa"/>
            <w:vAlign w:val="center"/>
          </w:tcPr>
          <w:p w:rsidR="00D55472" w:rsidRPr="0063061C" w:rsidRDefault="00D55472" w:rsidP="005B48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lang w:val="en-US"/>
              </w:rPr>
            </w:pPr>
            <w:r w:rsidRPr="0063061C">
              <w:rPr>
                <w:rFonts w:ascii="Times New Roman" w:hAnsi="Times New Roman" w:cs="Times New Roman"/>
                <w:b/>
                <w:sz w:val="20"/>
                <w:szCs w:val="20"/>
                <w:lang w:val="en-US"/>
              </w:rPr>
              <w:t>2 years</w:t>
            </w:r>
          </w:p>
        </w:tc>
        <w:tc>
          <w:tcPr>
            <w:tcW w:w="1718" w:type="dxa"/>
            <w:vAlign w:val="center"/>
          </w:tcPr>
          <w:p w:rsidR="00D55472" w:rsidRPr="0063061C" w:rsidRDefault="00D55472" w:rsidP="005B48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lang w:val="en-US"/>
              </w:rPr>
            </w:pPr>
            <w:r w:rsidRPr="0063061C">
              <w:rPr>
                <w:rFonts w:ascii="Times New Roman" w:hAnsi="Times New Roman" w:cs="Times New Roman"/>
                <w:b/>
                <w:sz w:val="20"/>
                <w:szCs w:val="20"/>
                <w:lang w:val="en-US"/>
              </w:rPr>
              <w:t>2 days</w:t>
            </w:r>
          </w:p>
        </w:tc>
        <w:tc>
          <w:tcPr>
            <w:tcW w:w="1722" w:type="dxa"/>
            <w:vAlign w:val="center"/>
          </w:tcPr>
          <w:p w:rsidR="00D55472" w:rsidRPr="0063061C" w:rsidRDefault="00D55472" w:rsidP="005B48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lang w:val="en-US"/>
              </w:rPr>
            </w:pPr>
            <w:r w:rsidRPr="0063061C">
              <w:rPr>
                <w:rFonts w:ascii="Times New Roman" w:hAnsi="Times New Roman" w:cs="Times New Roman"/>
                <w:b/>
                <w:sz w:val="20"/>
                <w:szCs w:val="20"/>
                <w:lang w:val="en-US"/>
              </w:rPr>
              <w:t>Once in six months</w:t>
            </w:r>
          </w:p>
        </w:tc>
      </w:tr>
      <w:tr w:rsidR="00D55472" w:rsidRPr="0063061C" w:rsidTr="005B48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vAlign w:val="center"/>
          </w:tcPr>
          <w:p w:rsidR="00D55472" w:rsidRPr="0063061C" w:rsidRDefault="00D55472" w:rsidP="005B4876">
            <w:pPr>
              <w:jc w:val="center"/>
              <w:rPr>
                <w:rFonts w:ascii="Times New Roman" w:hAnsi="Times New Roman" w:cs="Times New Roman"/>
                <w:sz w:val="20"/>
                <w:szCs w:val="20"/>
                <w:lang w:val="en-US"/>
              </w:rPr>
            </w:pPr>
            <w:r w:rsidRPr="0063061C">
              <w:rPr>
                <w:rFonts w:ascii="Times New Roman" w:hAnsi="Times New Roman" w:cs="Times New Roman"/>
                <w:sz w:val="20"/>
                <w:szCs w:val="20"/>
                <w:lang w:val="en-US"/>
              </w:rPr>
              <w:t>Stock Market</w:t>
            </w:r>
          </w:p>
        </w:tc>
        <w:tc>
          <w:tcPr>
            <w:tcW w:w="1276" w:type="dxa"/>
            <w:vAlign w:val="center"/>
          </w:tcPr>
          <w:p w:rsidR="00D55472" w:rsidRPr="0063061C" w:rsidRDefault="00D55472" w:rsidP="005B48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63061C">
              <w:rPr>
                <w:rFonts w:ascii="Times New Roman" w:hAnsi="Times New Roman" w:cs="Times New Roman"/>
                <w:b/>
                <w:sz w:val="20"/>
                <w:szCs w:val="20"/>
                <w:lang w:val="en-US"/>
              </w:rPr>
              <w:t>Empiric</w:t>
            </w:r>
          </w:p>
        </w:tc>
        <w:tc>
          <w:tcPr>
            <w:tcW w:w="1505" w:type="dxa"/>
            <w:vAlign w:val="center"/>
          </w:tcPr>
          <w:p w:rsidR="00D55472" w:rsidRPr="0063061C" w:rsidRDefault="00D55472" w:rsidP="005B48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63061C">
              <w:rPr>
                <w:rFonts w:ascii="Times New Roman" w:hAnsi="Times New Roman" w:cs="Times New Roman"/>
                <w:b/>
                <w:sz w:val="20"/>
                <w:szCs w:val="20"/>
                <w:lang w:val="en-US"/>
              </w:rPr>
              <w:t>Scenario analys</w:t>
            </w:r>
            <w:r>
              <w:rPr>
                <w:rFonts w:ascii="Times New Roman" w:hAnsi="Times New Roman" w:cs="Times New Roman"/>
                <w:b/>
                <w:sz w:val="20"/>
                <w:szCs w:val="20"/>
                <w:lang w:val="en-US"/>
              </w:rPr>
              <w:t>is</w:t>
            </w:r>
            <w:r w:rsidRPr="0063061C">
              <w:rPr>
                <w:rFonts w:ascii="Times New Roman" w:hAnsi="Times New Roman" w:cs="Times New Roman"/>
                <w:b/>
                <w:sz w:val="20"/>
                <w:szCs w:val="20"/>
                <w:lang w:val="en-US"/>
              </w:rPr>
              <w:t>(up/down)</w:t>
            </w:r>
          </w:p>
        </w:tc>
        <w:tc>
          <w:tcPr>
            <w:tcW w:w="1399" w:type="dxa"/>
            <w:vAlign w:val="center"/>
          </w:tcPr>
          <w:p w:rsidR="00D55472" w:rsidRPr="0063061C" w:rsidRDefault="00D55472" w:rsidP="005B48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63061C">
              <w:rPr>
                <w:rFonts w:ascii="Times New Roman" w:hAnsi="Times New Roman" w:cs="Times New Roman"/>
                <w:b/>
                <w:sz w:val="20"/>
                <w:szCs w:val="20"/>
                <w:lang w:val="en-US"/>
              </w:rPr>
              <w:t>2 years</w:t>
            </w:r>
          </w:p>
        </w:tc>
        <w:tc>
          <w:tcPr>
            <w:tcW w:w="1718" w:type="dxa"/>
            <w:vAlign w:val="center"/>
          </w:tcPr>
          <w:p w:rsidR="00D55472" w:rsidRPr="0063061C" w:rsidRDefault="00D55472" w:rsidP="005B48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63061C">
              <w:rPr>
                <w:rFonts w:ascii="Times New Roman" w:hAnsi="Times New Roman" w:cs="Times New Roman"/>
                <w:b/>
                <w:sz w:val="20"/>
                <w:szCs w:val="20"/>
                <w:lang w:val="en-US"/>
              </w:rPr>
              <w:t>2 days</w:t>
            </w:r>
          </w:p>
        </w:tc>
        <w:tc>
          <w:tcPr>
            <w:tcW w:w="1722" w:type="dxa"/>
            <w:vAlign w:val="center"/>
          </w:tcPr>
          <w:p w:rsidR="00D55472" w:rsidRPr="0063061C" w:rsidRDefault="00D55472" w:rsidP="005B48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63061C">
              <w:rPr>
                <w:rFonts w:ascii="Times New Roman" w:hAnsi="Times New Roman" w:cs="Times New Roman"/>
                <w:b/>
                <w:sz w:val="20"/>
                <w:szCs w:val="20"/>
                <w:lang w:val="en-US"/>
              </w:rPr>
              <w:t>Once in six months</w:t>
            </w:r>
          </w:p>
        </w:tc>
      </w:tr>
      <w:tr w:rsidR="00D55472" w:rsidRPr="0063061C" w:rsidTr="005B487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vAlign w:val="center"/>
          </w:tcPr>
          <w:p w:rsidR="00D55472" w:rsidRPr="0063061C" w:rsidRDefault="00D55472" w:rsidP="005B4876">
            <w:pPr>
              <w:jc w:val="center"/>
              <w:rPr>
                <w:rFonts w:ascii="Times New Roman" w:hAnsi="Times New Roman" w:cs="Times New Roman"/>
                <w:sz w:val="20"/>
                <w:szCs w:val="20"/>
                <w:lang w:val="en-US"/>
              </w:rPr>
            </w:pPr>
            <w:r w:rsidRPr="0063061C">
              <w:rPr>
                <w:rFonts w:ascii="Times New Roman" w:hAnsi="Times New Roman" w:cs="Times New Roman"/>
                <w:sz w:val="20"/>
                <w:szCs w:val="20"/>
                <w:lang w:val="en-US"/>
              </w:rPr>
              <w:t>Derivatives Market</w:t>
            </w:r>
          </w:p>
        </w:tc>
        <w:tc>
          <w:tcPr>
            <w:tcW w:w="1276" w:type="dxa"/>
            <w:vAlign w:val="center"/>
          </w:tcPr>
          <w:p w:rsidR="00D55472" w:rsidRPr="0063061C" w:rsidRDefault="00D55472" w:rsidP="005B48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lang w:val="en-US"/>
              </w:rPr>
            </w:pPr>
            <w:r w:rsidRPr="0063061C">
              <w:rPr>
                <w:rFonts w:ascii="Times New Roman" w:hAnsi="Times New Roman" w:cs="Times New Roman"/>
                <w:b/>
                <w:sz w:val="20"/>
                <w:szCs w:val="20"/>
                <w:lang w:val="en-US"/>
              </w:rPr>
              <w:t>Empiric</w:t>
            </w:r>
          </w:p>
        </w:tc>
        <w:tc>
          <w:tcPr>
            <w:tcW w:w="1505" w:type="dxa"/>
            <w:vAlign w:val="center"/>
          </w:tcPr>
          <w:p w:rsidR="00D55472" w:rsidRPr="0063061C" w:rsidRDefault="00D55472" w:rsidP="005B48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lang w:val="en-US"/>
              </w:rPr>
            </w:pPr>
            <w:r w:rsidRPr="0063061C">
              <w:rPr>
                <w:rFonts w:ascii="Times New Roman" w:hAnsi="Times New Roman" w:cs="Times New Roman"/>
                <w:b/>
                <w:sz w:val="20"/>
                <w:szCs w:val="20"/>
                <w:lang w:val="en-US"/>
              </w:rPr>
              <w:t>Scenario analys</w:t>
            </w:r>
            <w:r>
              <w:rPr>
                <w:rFonts w:ascii="Times New Roman" w:hAnsi="Times New Roman" w:cs="Times New Roman"/>
                <w:b/>
                <w:sz w:val="20"/>
                <w:szCs w:val="20"/>
                <w:lang w:val="en-US"/>
              </w:rPr>
              <w:t>is</w:t>
            </w:r>
            <w:r w:rsidRPr="0063061C">
              <w:rPr>
                <w:rFonts w:ascii="Times New Roman" w:hAnsi="Times New Roman" w:cs="Times New Roman"/>
                <w:b/>
                <w:sz w:val="20"/>
                <w:szCs w:val="20"/>
                <w:lang w:val="en-US"/>
              </w:rPr>
              <w:t xml:space="preserve"> </w:t>
            </w:r>
          </w:p>
          <w:p w:rsidR="00D55472" w:rsidRPr="0063061C" w:rsidRDefault="00D55472" w:rsidP="005B48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lang w:val="en-US"/>
              </w:rPr>
            </w:pPr>
            <w:r w:rsidRPr="0063061C">
              <w:rPr>
                <w:rFonts w:ascii="Times New Roman" w:hAnsi="Times New Roman" w:cs="Times New Roman"/>
                <w:b/>
                <w:sz w:val="20"/>
                <w:szCs w:val="20"/>
                <w:lang w:val="en-US"/>
              </w:rPr>
              <w:t>(</w:t>
            </w:r>
            <w:r>
              <w:rPr>
                <w:rFonts w:ascii="Times New Roman" w:hAnsi="Times New Roman" w:cs="Times New Roman"/>
                <w:b/>
                <w:sz w:val="20"/>
                <w:szCs w:val="20"/>
                <w:lang w:val="en-US"/>
              </w:rPr>
              <w:t xml:space="preserve"> 23 </w:t>
            </w:r>
            <w:r w:rsidRPr="0063061C">
              <w:rPr>
                <w:rFonts w:ascii="Times New Roman" w:hAnsi="Times New Roman" w:cs="Times New Roman"/>
                <w:b/>
                <w:sz w:val="20"/>
                <w:szCs w:val="20"/>
                <w:lang w:val="en-US"/>
              </w:rPr>
              <w:t>scenario</w:t>
            </w:r>
            <w:r>
              <w:rPr>
                <w:rFonts w:ascii="Times New Roman" w:hAnsi="Times New Roman" w:cs="Times New Roman"/>
                <w:b/>
                <w:sz w:val="20"/>
                <w:szCs w:val="20"/>
                <w:lang w:val="en-US"/>
              </w:rPr>
              <w:t>s</w:t>
            </w:r>
            <w:r w:rsidRPr="0063061C">
              <w:rPr>
                <w:rFonts w:ascii="Times New Roman" w:hAnsi="Times New Roman" w:cs="Times New Roman"/>
                <w:b/>
                <w:sz w:val="20"/>
                <w:szCs w:val="20"/>
                <w:lang w:val="en-US"/>
              </w:rPr>
              <w:t xml:space="preserve"> </w:t>
            </w:r>
            <w:r>
              <w:rPr>
                <w:rFonts w:ascii="Times New Roman" w:hAnsi="Times New Roman" w:cs="Times New Roman"/>
                <w:b/>
                <w:sz w:val="20"/>
                <w:szCs w:val="20"/>
                <w:lang w:val="en-US"/>
              </w:rPr>
              <w:t xml:space="preserve"> </w:t>
            </w:r>
            <w:r w:rsidRPr="0063061C">
              <w:rPr>
                <w:rFonts w:ascii="Times New Roman" w:hAnsi="Times New Roman" w:cs="Times New Roman"/>
                <w:b/>
                <w:sz w:val="20"/>
                <w:szCs w:val="20"/>
                <w:lang w:val="en-US"/>
              </w:rPr>
              <w:t>for prices; up/down for volatility)</w:t>
            </w:r>
          </w:p>
        </w:tc>
        <w:tc>
          <w:tcPr>
            <w:tcW w:w="1399" w:type="dxa"/>
            <w:vAlign w:val="center"/>
          </w:tcPr>
          <w:p w:rsidR="00D55472" w:rsidRPr="0063061C" w:rsidRDefault="00D55472" w:rsidP="005B48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lang w:val="en-US"/>
              </w:rPr>
            </w:pPr>
            <w:r w:rsidRPr="0063061C">
              <w:rPr>
                <w:rFonts w:ascii="Times New Roman" w:hAnsi="Times New Roman" w:cs="Times New Roman"/>
                <w:b/>
                <w:sz w:val="20"/>
                <w:szCs w:val="20"/>
                <w:lang w:val="en-US"/>
              </w:rPr>
              <w:t>1 year</w:t>
            </w:r>
          </w:p>
        </w:tc>
        <w:tc>
          <w:tcPr>
            <w:tcW w:w="1718" w:type="dxa"/>
            <w:vAlign w:val="center"/>
          </w:tcPr>
          <w:p w:rsidR="00D55472" w:rsidRPr="0063061C" w:rsidRDefault="00D55472" w:rsidP="005B48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lang w:val="en-US"/>
              </w:rPr>
            </w:pPr>
            <w:r w:rsidRPr="0063061C">
              <w:rPr>
                <w:rFonts w:ascii="Times New Roman" w:hAnsi="Times New Roman" w:cs="Times New Roman"/>
                <w:b/>
                <w:sz w:val="20"/>
                <w:szCs w:val="20"/>
                <w:lang w:val="en-US"/>
              </w:rPr>
              <w:t>1 day</w:t>
            </w:r>
          </w:p>
        </w:tc>
        <w:tc>
          <w:tcPr>
            <w:tcW w:w="1722" w:type="dxa"/>
            <w:vAlign w:val="center"/>
          </w:tcPr>
          <w:p w:rsidR="00D55472" w:rsidRPr="0063061C" w:rsidRDefault="00D55472" w:rsidP="005B48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lang w:val="en-US"/>
              </w:rPr>
            </w:pPr>
            <w:r w:rsidRPr="0063061C">
              <w:rPr>
                <w:rFonts w:ascii="Times New Roman" w:hAnsi="Times New Roman" w:cs="Times New Roman"/>
                <w:b/>
                <w:sz w:val="20"/>
                <w:szCs w:val="20"/>
                <w:lang w:val="en-US"/>
              </w:rPr>
              <w:t>Once in six months</w:t>
            </w:r>
          </w:p>
        </w:tc>
      </w:tr>
      <w:tr w:rsidR="00D55472" w:rsidRPr="0063061C" w:rsidTr="005B48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vAlign w:val="center"/>
          </w:tcPr>
          <w:p w:rsidR="00D55472" w:rsidRPr="0063061C" w:rsidRDefault="00D55472" w:rsidP="005B4876">
            <w:pPr>
              <w:jc w:val="center"/>
              <w:rPr>
                <w:rFonts w:ascii="Times New Roman" w:hAnsi="Times New Roman" w:cs="Times New Roman"/>
                <w:sz w:val="20"/>
                <w:szCs w:val="20"/>
                <w:lang w:val="en-US"/>
              </w:rPr>
            </w:pPr>
            <w:r w:rsidRPr="0063061C">
              <w:rPr>
                <w:rFonts w:ascii="Times New Roman" w:eastAsia="Calibri" w:hAnsi="Times New Roman" w:cs="Times New Roman"/>
                <w:sz w:val="20"/>
                <w:szCs w:val="20"/>
                <w:lang w:val="en-US"/>
              </w:rPr>
              <w:t xml:space="preserve">Standardized  </w:t>
            </w:r>
            <w:r w:rsidRPr="00F12605">
              <w:rPr>
                <w:rFonts w:ascii="Times New Roman" w:hAnsi="Times New Roman" w:cs="Times New Roman"/>
                <w:b w:val="0"/>
                <w:sz w:val="24"/>
                <w:szCs w:val="24"/>
                <w:lang w:val="en-US"/>
              </w:rPr>
              <w:t>DI</w:t>
            </w:r>
            <w:r w:rsidRPr="0063061C">
              <w:rPr>
                <w:rFonts w:ascii="Times New Roman" w:eastAsia="Calibri" w:hAnsi="Times New Roman" w:cs="Times New Roman"/>
                <w:sz w:val="20"/>
                <w:szCs w:val="20"/>
                <w:lang w:val="en-US"/>
              </w:rPr>
              <w:t xml:space="preserve"> Market</w:t>
            </w:r>
          </w:p>
        </w:tc>
        <w:tc>
          <w:tcPr>
            <w:tcW w:w="1276" w:type="dxa"/>
            <w:vAlign w:val="center"/>
          </w:tcPr>
          <w:p w:rsidR="00D55472" w:rsidRPr="0063061C" w:rsidRDefault="00D55472" w:rsidP="005B48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63061C">
              <w:rPr>
                <w:rFonts w:ascii="Times New Roman" w:hAnsi="Times New Roman" w:cs="Times New Roman"/>
                <w:b/>
                <w:sz w:val="20"/>
                <w:szCs w:val="20"/>
                <w:lang w:val="en-US"/>
              </w:rPr>
              <w:t>Empiric</w:t>
            </w:r>
          </w:p>
        </w:tc>
        <w:tc>
          <w:tcPr>
            <w:tcW w:w="1505" w:type="dxa"/>
            <w:vAlign w:val="center"/>
          </w:tcPr>
          <w:p w:rsidR="00D55472" w:rsidRPr="0063061C" w:rsidRDefault="00D55472" w:rsidP="005B48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63061C">
              <w:rPr>
                <w:rFonts w:ascii="Times New Roman" w:hAnsi="Times New Roman" w:cs="Times New Roman"/>
                <w:b/>
                <w:sz w:val="20"/>
                <w:szCs w:val="20"/>
                <w:lang w:val="en-US"/>
              </w:rPr>
              <w:t>Scenario analys</w:t>
            </w:r>
            <w:r>
              <w:rPr>
                <w:rFonts w:ascii="Times New Roman" w:hAnsi="Times New Roman" w:cs="Times New Roman"/>
                <w:b/>
                <w:sz w:val="20"/>
                <w:szCs w:val="20"/>
                <w:lang w:val="en-US"/>
              </w:rPr>
              <w:t>is</w:t>
            </w:r>
            <w:r w:rsidRPr="0063061C">
              <w:rPr>
                <w:rFonts w:ascii="Times New Roman" w:hAnsi="Times New Roman" w:cs="Times New Roman"/>
                <w:b/>
                <w:sz w:val="20"/>
                <w:szCs w:val="20"/>
                <w:lang w:val="en-US"/>
              </w:rPr>
              <w:t xml:space="preserve"> </w:t>
            </w:r>
          </w:p>
          <w:p w:rsidR="00D55472" w:rsidRPr="0063061C" w:rsidRDefault="00D55472" w:rsidP="005B48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63061C">
              <w:rPr>
                <w:rFonts w:ascii="Times New Roman" w:hAnsi="Times New Roman" w:cs="Times New Roman"/>
                <w:b/>
                <w:sz w:val="20"/>
                <w:szCs w:val="20"/>
                <w:lang w:val="en-US"/>
              </w:rPr>
              <w:t>(shift/twist/butterfly for interest rates; up/down for exchange rates)</w:t>
            </w:r>
          </w:p>
        </w:tc>
        <w:tc>
          <w:tcPr>
            <w:tcW w:w="1399" w:type="dxa"/>
            <w:vAlign w:val="center"/>
          </w:tcPr>
          <w:p w:rsidR="00D55472" w:rsidRPr="0063061C" w:rsidRDefault="00D55472" w:rsidP="005B48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63061C">
              <w:rPr>
                <w:rFonts w:ascii="Times New Roman" w:hAnsi="Times New Roman" w:cs="Times New Roman"/>
                <w:b/>
                <w:sz w:val="20"/>
                <w:szCs w:val="20"/>
                <w:lang w:val="en-US"/>
              </w:rPr>
              <w:t>3 years</w:t>
            </w:r>
          </w:p>
        </w:tc>
        <w:tc>
          <w:tcPr>
            <w:tcW w:w="1718" w:type="dxa"/>
            <w:vAlign w:val="center"/>
          </w:tcPr>
          <w:p w:rsidR="00D55472" w:rsidRPr="0063061C" w:rsidRDefault="00D55472" w:rsidP="005B48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63061C">
              <w:rPr>
                <w:rFonts w:ascii="Times New Roman" w:hAnsi="Times New Roman" w:cs="Times New Roman"/>
                <w:b/>
                <w:sz w:val="20"/>
                <w:szCs w:val="20"/>
                <w:lang w:val="en-US"/>
              </w:rPr>
              <w:t>3 days</w:t>
            </w:r>
          </w:p>
        </w:tc>
        <w:tc>
          <w:tcPr>
            <w:tcW w:w="1722" w:type="dxa"/>
            <w:vAlign w:val="center"/>
          </w:tcPr>
          <w:p w:rsidR="00D55472" w:rsidRPr="0063061C" w:rsidRDefault="00D55472" w:rsidP="005B48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63061C">
              <w:rPr>
                <w:rFonts w:ascii="Times New Roman" w:hAnsi="Times New Roman" w:cs="Times New Roman"/>
                <w:b/>
                <w:sz w:val="20"/>
                <w:szCs w:val="20"/>
                <w:lang w:val="en-US"/>
              </w:rPr>
              <w:t>Once in six months</w:t>
            </w:r>
          </w:p>
        </w:tc>
      </w:tr>
    </w:tbl>
    <w:p w:rsidR="00D55472" w:rsidRPr="0063061C" w:rsidRDefault="00D55472" w:rsidP="00D55472">
      <w:pPr>
        <w:spacing w:after="120" w:line="240" w:lineRule="auto"/>
        <w:ind w:firstLine="567"/>
        <w:jc w:val="both"/>
        <w:rPr>
          <w:rFonts w:ascii="Times New Roman" w:hAnsi="Times New Roman" w:cs="Times New Roman"/>
          <w:sz w:val="24"/>
          <w:szCs w:val="24"/>
          <w:lang w:val="en-US"/>
        </w:rPr>
      </w:pPr>
    </w:p>
    <w:p w:rsidR="00D55472" w:rsidRPr="0063061C" w:rsidRDefault="00D55472" w:rsidP="00D55472">
      <w:pPr>
        <w:spacing w:after="120" w:line="240" w:lineRule="auto"/>
        <w:ind w:firstLine="567"/>
        <w:jc w:val="both"/>
        <w:rPr>
          <w:rFonts w:ascii="Times New Roman" w:hAnsi="Times New Roman" w:cs="Times New Roman"/>
          <w:sz w:val="24"/>
          <w:szCs w:val="24"/>
          <w:lang w:val="en-US"/>
        </w:rPr>
      </w:pPr>
      <w:r w:rsidRPr="0063061C">
        <w:rPr>
          <w:rFonts w:ascii="Times New Roman" w:hAnsi="Times New Roman" w:cs="Times New Roman"/>
          <w:sz w:val="24"/>
          <w:szCs w:val="24"/>
          <w:lang w:val="en-US"/>
        </w:rPr>
        <w:t xml:space="preserve">Models used for margining of clearing participants’ trades on the stock market and the </w:t>
      </w:r>
      <w:r w:rsidRPr="0063061C">
        <w:rPr>
          <w:rFonts w:ascii="Times New Roman" w:eastAsia="Calibri" w:hAnsi="Times New Roman" w:cs="Times New Roman"/>
          <w:sz w:val="24"/>
          <w:szCs w:val="24"/>
          <w:lang w:val="en-US"/>
        </w:rPr>
        <w:t xml:space="preserve">standardized </w:t>
      </w:r>
      <w:r w:rsidRPr="00CC3507">
        <w:rPr>
          <w:rFonts w:ascii="Times New Roman" w:hAnsi="Times New Roman" w:cs="Times New Roman"/>
          <w:sz w:val="24"/>
          <w:szCs w:val="24"/>
          <w:lang w:val="en-US"/>
        </w:rPr>
        <w:t>D</w:t>
      </w:r>
      <w:r>
        <w:rPr>
          <w:rFonts w:ascii="Times New Roman" w:hAnsi="Times New Roman" w:cs="Times New Roman"/>
          <w:sz w:val="24"/>
          <w:szCs w:val="24"/>
          <w:lang w:val="en-US"/>
        </w:rPr>
        <w:t>I</w:t>
      </w:r>
      <w:r w:rsidRPr="0063061C">
        <w:rPr>
          <w:rFonts w:ascii="Times New Roman" w:eastAsia="Calibri" w:hAnsi="Times New Roman" w:cs="Times New Roman"/>
          <w:sz w:val="24"/>
          <w:szCs w:val="24"/>
          <w:lang w:val="en-US"/>
        </w:rPr>
        <w:t xml:space="preserve"> market were implemented in </w:t>
      </w:r>
      <w:r w:rsidRPr="0063061C">
        <w:rPr>
          <w:rFonts w:ascii="Times New Roman" w:hAnsi="Times New Roman" w:cs="Times New Roman"/>
          <w:sz w:val="24"/>
          <w:szCs w:val="24"/>
          <w:lang w:val="en-US"/>
        </w:rPr>
        <w:t xml:space="preserve">2013 when T+2 project and </w:t>
      </w:r>
      <w:r>
        <w:rPr>
          <w:rFonts w:ascii="Times New Roman" w:hAnsi="Times New Roman" w:cs="Times New Roman"/>
          <w:sz w:val="24"/>
          <w:szCs w:val="24"/>
          <w:lang w:val="en-US"/>
        </w:rPr>
        <w:t xml:space="preserve">standardized </w:t>
      </w:r>
      <w:proofErr w:type="gramStart"/>
      <w:r w:rsidRPr="00CC3507">
        <w:rPr>
          <w:rFonts w:ascii="Times New Roman" w:hAnsi="Times New Roman" w:cs="Times New Roman"/>
          <w:sz w:val="24"/>
          <w:szCs w:val="24"/>
          <w:lang w:val="en-US"/>
        </w:rPr>
        <w:t>D</w:t>
      </w:r>
      <w:r>
        <w:rPr>
          <w:rFonts w:ascii="Times New Roman" w:hAnsi="Times New Roman" w:cs="Times New Roman"/>
          <w:sz w:val="24"/>
          <w:szCs w:val="24"/>
          <w:lang w:val="en-US"/>
        </w:rPr>
        <w:t>I</w:t>
      </w:r>
      <w:r w:rsidRPr="0063061C">
        <w:rPr>
          <w:rFonts w:ascii="Times New Roman" w:eastAsia="Calibri" w:hAnsi="Times New Roman" w:cs="Times New Roman"/>
          <w:sz w:val="24"/>
          <w:szCs w:val="24"/>
          <w:lang w:val="en-US"/>
        </w:rPr>
        <w:t xml:space="preserve"> </w:t>
      </w:r>
      <w:r w:rsidRPr="0063061C">
        <w:rPr>
          <w:rFonts w:ascii="Times New Roman" w:hAnsi="Times New Roman" w:cs="Times New Roman"/>
          <w:sz w:val="24"/>
          <w:szCs w:val="24"/>
          <w:lang w:val="en-US"/>
        </w:rPr>
        <w:t xml:space="preserve"> clearing</w:t>
      </w:r>
      <w:proofErr w:type="gramEnd"/>
      <w:r w:rsidRPr="0063061C">
        <w:rPr>
          <w:rFonts w:ascii="Times New Roman" w:hAnsi="Times New Roman" w:cs="Times New Roman"/>
          <w:sz w:val="24"/>
          <w:szCs w:val="24"/>
          <w:lang w:val="en-US"/>
        </w:rPr>
        <w:t xml:space="preserve"> project </w:t>
      </w:r>
      <w:r w:rsidRPr="0063061C">
        <w:rPr>
          <w:rFonts w:ascii="Times New Roman" w:eastAsia="Calibri" w:hAnsi="Times New Roman" w:cs="Times New Roman"/>
          <w:sz w:val="24"/>
          <w:szCs w:val="24"/>
          <w:lang w:val="en-US"/>
        </w:rPr>
        <w:t>were launched</w:t>
      </w:r>
      <w:r w:rsidRPr="0063061C">
        <w:rPr>
          <w:rFonts w:ascii="Times New Roman" w:hAnsi="Times New Roman" w:cs="Times New Roman"/>
          <w:sz w:val="24"/>
          <w:szCs w:val="24"/>
          <w:lang w:val="en-US"/>
        </w:rPr>
        <w:t>.</w:t>
      </w:r>
    </w:p>
    <w:p w:rsidR="00D55472" w:rsidRPr="0063061C" w:rsidRDefault="00D55472" w:rsidP="00D55472">
      <w:pPr>
        <w:spacing w:after="120" w:line="240" w:lineRule="auto"/>
        <w:ind w:firstLine="567"/>
        <w:jc w:val="both"/>
        <w:rPr>
          <w:rFonts w:ascii="Times New Roman" w:hAnsi="Times New Roman" w:cs="Times New Roman"/>
          <w:sz w:val="24"/>
          <w:szCs w:val="24"/>
          <w:lang w:val="en-US"/>
        </w:rPr>
      </w:pPr>
      <w:r w:rsidRPr="0063061C">
        <w:rPr>
          <w:rFonts w:ascii="Times New Roman" w:hAnsi="Times New Roman" w:cs="Times New Roman"/>
          <w:sz w:val="24"/>
          <w:szCs w:val="24"/>
          <w:lang w:val="en-US"/>
        </w:rPr>
        <w:t xml:space="preserve">Depending on the specific market different types of assets are </w:t>
      </w:r>
      <w:r>
        <w:rPr>
          <w:rFonts w:ascii="Times New Roman" w:hAnsi="Times New Roman" w:cs="Times New Roman"/>
          <w:sz w:val="24"/>
          <w:szCs w:val="24"/>
          <w:lang w:val="en-US"/>
        </w:rPr>
        <w:t>accepted as</w:t>
      </w:r>
      <w:r w:rsidRPr="0063061C">
        <w:rPr>
          <w:rFonts w:ascii="Times New Roman" w:hAnsi="Times New Roman" w:cs="Times New Roman"/>
          <w:sz w:val="24"/>
          <w:szCs w:val="24"/>
          <w:lang w:val="en-US"/>
        </w:rPr>
        <w:t xml:space="preserve"> </w:t>
      </w:r>
      <w:r w:rsidRPr="0063061C">
        <w:rPr>
          <w:rFonts w:ascii="Times New Roman" w:hAnsi="Times New Roman" w:cs="Times New Roman"/>
          <w:kern w:val="24"/>
          <w:sz w:val="24"/>
          <w:szCs w:val="24"/>
          <w:lang w:val="en-US"/>
        </w:rPr>
        <w:t>collateral</w:t>
      </w:r>
      <w:r w:rsidRPr="0063061C">
        <w:rPr>
          <w:rFonts w:ascii="Times New Roman" w:hAnsi="Times New Roman" w:cs="Times New Roman"/>
          <w:sz w:val="24"/>
          <w:szCs w:val="24"/>
          <w:lang w:val="en-US"/>
        </w:rPr>
        <w:t>:</w:t>
      </w:r>
    </w:p>
    <w:p w:rsidR="00D55472" w:rsidRPr="0063061C" w:rsidRDefault="00D55472" w:rsidP="00D55472">
      <w:pPr>
        <w:spacing w:after="120" w:line="240" w:lineRule="auto"/>
        <w:ind w:firstLine="567"/>
        <w:jc w:val="both"/>
        <w:rPr>
          <w:rFonts w:ascii="Times New Roman" w:hAnsi="Times New Roman" w:cs="Times New Roman"/>
          <w:sz w:val="24"/>
          <w:szCs w:val="24"/>
          <w:lang w:val="en-US"/>
        </w:rPr>
      </w:pPr>
    </w:p>
    <w:tbl>
      <w:tblPr>
        <w:tblStyle w:val="-2"/>
        <w:tblW w:w="0" w:type="auto"/>
        <w:jc w:val="center"/>
        <w:tblLook w:val="04A0" w:firstRow="1" w:lastRow="0" w:firstColumn="1" w:lastColumn="0" w:noHBand="0" w:noVBand="1"/>
      </w:tblPr>
      <w:tblGrid>
        <w:gridCol w:w="2211"/>
        <w:gridCol w:w="1038"/>
        <w:gridCol w:w="1412"/>
        <w:gridCol w:w="1837"/>
        <w:gridCol w:w="2115"/>
        <w:gridCol w:w="958"/>
      </w:tblGrid>
      <w:tr w:rsidR="00D55472" w:rsidRPr="009F55B7" w:rsidTr="005B4876">
        <w:trPr>
          <w:cnfStyle w:val="100000000000" w:firstRow="1" w:lastRow="0" w:firstColumn="0" w:lastColumn="0" w:oddVBand="0" w:evenVBand="0" w:oddHBand="0"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9571" w:type="dxa"/>
            <w:gridSpan w:val="6"/>
            <w:shd w:val="clear" w:color="auto" w:fill="CC0000"/>
            <w:vAlign w:val="center"/>
          </w:tcPr>
          <w:p w:rsidR="00D55472" w:rsidRPr="0063061C" w:rsidRDefault="00D55472" w:rsidP="005B4876">
            <w:pPr>
              <w:jc w:val="center"/>
              <w:rPr>
                <w:rFonts w:ascii="Times New Roman" w:hAnsi="Times New Roman" w:cs="Times New Roman"/>
                <w:sz w:val="20"/>
                <w:szCs w:val="20"/>
                <w:lang w:val="en-US"/>
              </w:rPr>
            </w:pPr>
            <w:r w:rsidRPr="0063061C">
              <w:rPr>
                <w:rFonts w:ascii="Times New Roman" w:hAnsi="Times New Roman" w:cs="Times New Roman"/>
                <w:sz w:val="20"/>
                <w:szCs w:val="20"/>
                <w:lang w:val="en-US"/>
              </w:rPr>
              <w:t xml:space="preserve">Types of assets  </w:t>
            </w:r>
            <w:r>
              <w:rPr>
                <w:rFonts w:ascii="Times New Roman" w:hAnsi="Times New Roman" w:cs="Times New Roman"/>
                <w:sz w:val="20"/>
                <w:szCs w:val="20"/>
                <w:lang w:val="en-US"/>
              </w:rPr>
              <w:t>accepted as</w:t>
            </w:r>
            <w:r w:rsidRPr="0063061C">
              <w:rPr>
                <w:rFonts w:ascii="Times New Roman" w:hAnsi="Times New Roman" w:cs="Times New Roman"/>
                <w:sz w:val="20"/>
                <w:szCs w:val="20"/>
                <w:lang w:val="en-US"/>
              </w:rPr>
              <w:t xml:space="preserve"> </w:t>
            </w:r>
            <w:r w:rsidRPr="0063061C">
              <w:rPr>
                <w:rFonts w:ascii="Times New Roman" w:hAnsi="Times New Roman" w:cs="Times New Roman"/>
                <w:kern w:val="24"/>
                <w:sz w:val="20"/>
                <w:szCs w:val="20"/>
                <w:lang w:val="en-US"/>
              </w:rPr>
              <w:t xml:space="preserve">collateral on </w:t>
            </w:r>
            <w:r>
              <w:rPr>
                <w:rFonts w:ascii="Times New Roman" w:hAnsi="Times New Roman" w:cs="Times New Roman"/>
                <w:kern w:val="24"/>
                <w:sz w:val="20"/>
                <w:szCs w:val="20"/>
                <w:lang w:val="en-US"/>
              </w:rPr>
              <w:t xml:space="preserve">the </w:t>
            </w:r>
            <w:r w:rsidRPr="0063061C">
              <w:rPr>
                <w:rFonts w:ascii="Times New Roman" w:hAnsi="Times New Roman" w:cs="Times New Roman"/>
                <w:kern w:val="24"/>
                <w:sz w:val="20"/>
                <w:szCs w:val="20"/>
                <w:lang w:val="en-US"/>
              </w:rPr>
              <w:t>M</w:t>
            </w:r>
            <w:r>
              <w:rPr>
                <w:rFonts w:ascii="Times New Roman" w:hAnsi="Times New Roman" w:cs="Times New Roman"/>
                <w:kern w:val="24"/>
                <w:sz w:val="20"/>
                <w:szCs w:val="20"/>
                <w:lang w:val="en-US"/>
              </w:rPr>
              <w:t>oscow Exchange Group</w:t>
            </w:r>
            <w:r w:rsidRPr="0063061C">
              <w:rPr>
                <w:rFonts w:ascii="Times New Roman" w:hAnsi="Times New Roman" w:cs="Times New Roman"/>
                <w:kern w:val="24"/>
                <w:sz w:val="20"/>
                <w:szCs w:val="20"/>
                <w:lang w:val="en-US"/>
              </w:rPr>
              <w:t xml:space="preserve"> markets</w:t>
            </w:r>
          </w:p>
        </w:tc>
      </w:tr>
      <w:tr w:rsidR="00D55472" w:rsidRPr="0063061C" w:rsidTr="005B4876">
        <w:trPr>
          <w:cnfStyle w:val="000000100000" w:firstRow="0" w:lastRow="0" w:firstColumn="0" w:lastColumn="0" w:oddVBand="0" w:evenVBand="0" w:oddHBand="1" w:evenHBand="0" w:firstRowFirstColumn="0" w:firstRowLastColumn="0" w:lastRowFirstColumn="0" w:lastRowLastColumn="0"/>
          <w:trHeight w:val="590"/>
          <w:jc w:val="center"/>
        </w:trPr>
        <w:tc>
          <w:tcPr>
            <w:cnfStyle w:val="001000000000" w:firstRow="0" w:lastRow="0" w:firstColumn="1" w:lastColumn="0" w:oddVBand="0" w:evenVBand="0" w:oddHBand="0" w:evenHBand="0" w:firstRowFirstColumn="0" w:firstRowLastColumn="0" w:lastRowFirstColumn="0" w:lastRowLastColumn="0"/>
            <w:tcW w:w="2220" w:type="dxa"/>
            <w:shd w:val="clear" w:color="auto" w:fill="8E3432"/>
            <w:vAlign w:val="center"/>
          </w:tcPr>
          <w:p w:rsidR="00D55472" w:rsidRPr="0063061C" w:rsidRDefault="00D55472" w:rsidP="005B4876">
            <w:pPr>
              <w:jc w:val="center"/>
              <w:rPr>
                <w:rFonts w:ascii="Times New Roman" w:hAnsi="Times New Roman" w:cs="Times New Roman"/>
                <w:sz w:val="20"/>
                <w:szCs w:val="20"/>
                <w:lang w:val="en-US"/>
              </w:rPr>
            </w:pPr>
            <w:r w:rsidRPr="0063061C">
              <w:rPr>
                <w:rFonts w:ascii="Times New Roman" w:hAnsi="Times New Roman" w:cs="Times New Roman"/>
                <w:sz w:val="20"/>
                <w:szCs w:val="20"/>
                <w:lang w:val="en-US"/>
              </w:rPr>
              <w:t>Market</w:t>
            </w:r>
          </w:p>
        </w:tc>
        <w:tc>
          <w:tcPr>
            <w:tcW w:w="1007" w:type="dxa"/>
            <w:shd w:val="clear" w:color="auto" w:fill="8E3432"/>
            <w:vAlign w:val="center"/>
          </w:tcPr>
          <w:p w:rsidR="00D55472" w:rsidRPr="0063061C" w:rsidRDefault="00D55472" w:rsidP="005B48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63061C">
              <w:rPr>
                <w:rFonts w:ascii="Times New Roman" w:hAnsi="Times New Roman" w:cs="Times New Roman"/>
                <w:b/>
                <w:sz w:val="20"/>
                <w:szCs w:val="20"/>
                <w:lang w:val="en-US"/>
              </w:rPr>
              <w:t>Foreign Currency</w:t>
            </w:r>
          </w:p>
        </w:tc>
        <w:tc>
          <w:tcPr>
            <w:tcW w:w="1417" w:type="dxa"/>
            <w:shd w:val="clear" w:color="auto" w:fill="8E3432"/>
            <w:vAlign w:val="center"/>
          </w:tcPr>
          <w:p w:rsidR="00D55472" w:rsidRPr="0063061C" w:rsidRDefault="00D55472" w:rsidP="005B48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63061C">
              <w:rPr>
                <w:rFonts w:ascii="Times New Roman" w:hAnsi="Times New Roman" w:cs="Times New Roman"/>
                <w:b/>
                <w:sz w:val="20"/>
                <w:szCs w:val="20"/>
                <w:lang w:val="en-US"/>
              </w:rPr>
              <w:t>Precious Metals</w:t>
            </w:r>
          </w:p>
        </w:tc>
        <w:tc>
          <w:tcPr>
            <w:tcW w:w="1843" w:type="dxa"/>
            <w:shd w:val="clear" w:color="auto" w:fill="8E3432"/>
            <w:vAlign w:val="center"/>
          </w:tcPr>
          <w:p w:rsidR="00D55472" w:rsidRPr="0063061C" w:rsidRDefault="00D55472" w:rsidP="005B48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63061C">
              <w:rPr>
                <w:rFonts w:ascii="Times New Roman" w:hAnsi="Times New Roman" w:cs="Times New Roman"/>
                <w:b/>
                <w:sz w:val="20"/>
                <w:szCs w:val="20"/>
                <w:lang w:val="en-US"/>
              </w:rPr>
              <w:t>Government Bonds of the RF</w:t>
            </w:r>
          </w:p>
        </w:tc>
        <w:tc>
          <w:tcPr>
            <w:tcW w:w="2126" w:type="dxa"/>
            <w:shd w:val="clear" w:color="auto" w:fill="8E3432"/>
            <w:vAlign w:val="center"/>
          </w:tcPr>
          <w:p w:rsidR="00D55472" w:rsidRPr="0063061C" w:rsidRDefault="00D55472" w:rsidP="005B48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63061C">
              <w:rPr>
                <w:rFonts w:ascii="Times New Roman" w:hAnsi="Times New Roman" w:cs="Times New Roman"/>
                <w:b/>
                <w:sz w:val="20"/>
                <w:szCs w:val="20"/>
                <w:lang w:val="en-US"/>
              </w:rPr>
              <w:t>Corporate Bonds</w:t>
            </w:r>
          </w:p>
        </w:tc>
        <w:tc>
          <w:tcPr>
            <w:tcW w:w="958" w:type="dxa"/>
            <w:shd w:val="clear" w:color="auto" w:fill="8E3432"/>
            <w:vAlign w:val="center"/>
          </w:tcPr>
          <w:p w:rsidR="00D55472" w:rsidRPr="0063061C" w:rsidRDefault="00D55472" w:rsidP="005B48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63061C">
              <w:rPr>
                <w:rFonts w:ascii="Times New Roman" w:hAnsi="Times New Roman" w:cs="Times New Roman"/>
                <w:b/>
                <w:sz w:val="20"/>
                <w:szCs w:val="20"/>
                <w:lang w:val="en-US"/>
              </w:rPr>
              <w:t>Equities</w:t>
            </w:r>
          </w:p>
        </w:tc>
      </w:tr>
      <w:tr w:rsidR="00D55472" w:rsidRPr="0063061C" w:rsidTr="005B487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0" w:type="dxa"/>
            <w:vAlign w:val="center"/>
          </w:tcPr>
          <w:p w:rsidR="00D55472" w:rsidRPr="0063061C" w:rsidRDefault="00D55472" w:rsidP="005B4876">
            <w:pPr>
              <w:jc w:val="center"/>
              <w:rPr>
                <w:rFonts w:ascii="Times New Roman" w:hAnsi="Times New Roman" w:cs="Times New Roman"/>
                <w:sz w:val="20"/>
                <w:szCs w:val="20"/>
                <w:lang w:val="en-US"/>
              </w:rPr>
            </w:pPr>
            <w:r w:rsidRPr="0063061C">
              <w:rPr>
                <w:rFonts w:ascii="Times New Roman" w:hAnsi="Times New Roman" w:cs="Times New Roman"/>
                <w:sz w:val="20"/>
                <w:szCs w:val="20"/>
                <w:lang w:val="en-US"/>
              </w:rPr>
              <w:t>Foreign Exchange Market</w:t>
            </w:r>
          </w:p>
        </w:tc>
        <w:tc>
          <w:tcPr>
            <w:tcW w:w="1007" w:type="dxa"/>
            <w:vAlign w:val="center"/>
          </w:tcPr>
          <w:p w:rsidR="00D55472" w:rsidRPr="0063061C" w:rsidRDefault="00D55472" w:rsidP="005B48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lang w:val="en-US"/>
              </w:rPr>
            </w:pPr>
            <w:r w:rsidRPr="0063061C">
              <w:rPr>
                <w:rFonts w:ascii="Times New Roman" w:hAnsi="Times New Roman" w:cs="Times New Roman"/>
                <w:b/>
                <w:sz w:val="20"/>
                <w:szCs w:val="20"/>
                <w:lang w:val="en-US"/>
              </w:rPr>
              <w:t>+</w:t>
            </w:r>
          </w:p>
        </w:tc>
        <w:tc>
          <w:tcPr>
            <w:tcW w:w="1417" w:type="dxa"/>
            <w:vAlign w:val="center"/>
          </w:tcPr>
          <w:p w:rsidR="00D55472" w:rsidRPr="0063061C" w:rsidRDefault="00D55472" w:rsidP="005B48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lang w:val="en-US"/>
              </w:rPr>
            </w:pPr>
            <w:r w:rsidRPr="0063061C">
              <w:rPr>
                <w:rFonts w:ascii="Times New Roman" w:hAnsi="Times New Roman" w:cs="Times New Roman"/>
                <w:b/>
                <w:sz w:val="20"/>
                <w:szCs w:val="20"/>
                <w:lang w:val="en-US"/>
              </w:rPr>
              <w:t>+</w:t>
            </w:r>
          </w:p>
        </w:tc>
        <w:tc>
          <w:tcPr>
            <w:tcW w:w="1843" w:type="dxa"/>
            <w:vAlign w:val="center"/>
          </w:tcPr>
          <w:p w:rsidR="00D55472" w:rsidRPr="0063061C" w:rsidRDefault="00D55472" w:rsidP="005B4876">
            <w:pPr>
              <w:ind w:firstLine="56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lang w:val="en-US"/>
              </w:rPr>
            </w:pPr>
          </w:p>
        </w:tc>
        <w:tc>
          <w:tcPr>
            <w:tcW w:w="2126" w:type="dxa"/>
            <w:vAlign w:val="center"/>
          </w:tcPr>
          <w:p w:rsidR="00D55472" w:rsidRPr="0063061C" w:rsidRDefault="00D55472" w:rsidP="005B4876">
            <w:pPr>
              <w:ind w:firstLine="56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lang w:val="en-US"/>
              </w:rPr>
            </w:pPr>
          </w:p>
        </w:tc>
        <w:tc>
          <w:tcPr>
            <w:tcW w:w="958" w:type="dxa"/>
            <w:vAlign w:val="center"/>
          </w:tcPr>
          <w:p w:rsidR="00D55472" w:rsidRPr="0063061C" w:rsidRDefault="00D55472" w:rsidP="005B48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lang w:val="en-US"/>
              </w:rPr>
            </w:pPr>
          </w:p>
        </w:tc>
      </w:tr>
      <w:tr w:rsidR="00D55472" w:rsidRPr="0063061C" w:rsidTr="005B48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0" w:type="dxa"/>
            <w:vAlign w:val="center"/>
          </w:tcPr>
          <w:p w:rsidR="00D55472" w:rsidRPr="0063061C" w:rsidRDefault="00D55472" w:rsidP="005B4876">
            <w:pPr>
              <w:jc w:val="center"/>
              <w:rPr>
                <w:rFonts w:ascii="Times New Roman" w:hAnsi="Times New Roman" w:cs="Times New Roman"/>
                <w:sz w:val="20"/>
                <w:szCs w:val="20"/>
                <w:lang w:val="en-US"/>
              </w:rPr>
            </w:pPr>
            <w:r w:rsidRPr="0063061C">
              <w:rPr>
                <w:rFonts w:ascii="Times New Roman" w:hAnsi="Times New Roman" w:cs="Times New Roman"/>
                <w:sz w:val="20"/>
                <w:szCs w:val="20"/>
                <w:lang w:val="en-US"/>
              </w:rPr>
              <w:t>Stock Market</w:t>
            </w:r>
          </w:p>
        </w:tc>
        <w:tc>
          <w:tcPr>
            <w:tcW w:w="1007" w:type="dxa"/>
            <w:vAlign w:val="center"/>
          </w:tcPr>
          <w:p w:rsidR="00D55472" w:rsidRPr="0063061C" w:rsidRDefault="00D55472" w:rsidP="005B48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63061C">
              <w:rPr>
                <w:rFonts w:ascii="Times New Roman" w:hAnsi="Times New Roman" w:cs="Times New Roman"/>
                <w:b/>
                <w:sz w:val="20"/>
                <w:szCs w:val="20"/>
                <w:lang w:val="en-US"/>
              </w:rPr>
              <w:t>+</w:t>
            </w:r>
          </w:p>
        </w:tc>
        <w:tc>
          <w:tcPr>
            <w:tcW w:w="1417" w:type="dxa"/>
            <w:vAlign w:val="center"/>
          </w:tcPr>
          <w:p w:rsidR="00D55472" w:rsidRPr="0063061C" w:rsidRDefault="00D55472" w:rsidP="005B4876">
            <w:pPr>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tc>
        <w:tc>
          <w:tcPr>
            <w:tcW w:w="1843" w:type="dxa"/>
            <w:vAlign w:val="center"/>
          </w:tcPr>
          <w:p w:rsidR="00D55472" w:rsidRPr="0063061C" w:rsidRDefault="00D55472" w:rsidP="005B48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63061C">
              <w:rPr>
                <w:rFonts w:ascii="Times New Roman" w:hAnsi="Times New Roman" w:cs="Times New Roman"/>
                <w:b/>
                <w:sz w:val="20"/>
                <w:szCs w:val="20"/>
                <w:lang w:val="en-US"/>
              </w:rPr>
              <w:t>+</w:t>
            </w:r>
          </w:p>
        </w:tc>
        <w:tc>
          <w:tcPr>
            <w:tcW w:w="2126" w:type="dxa"/>
            <w:vAlign w:val="center"/>
          </w:tcPr>
          <w:p w:rsidR="00D55472" w:rsidRPr="0063061C" w:rsidRDefault="00D55472" w:rsidP="005B48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63061C">
              <w:rPr>
                <w:rFonts w:ascii="Times New Roman" w:hAnsi="Times New Roman" w:cs="Times New Roman"/>
                <w:b/>
                <w:sz w:val="20"/>
                <w:szCs w:val="20"/>
                <w:lang w:val="en-US"/>
              </w:rPr>
              <w:t>+</w:t>
            </w:r>
          </w:p>
        </w:tc>
        <w:tc>
          <w:tcPr>
            <w:tcW w:w="958" w:type="dxa"/>
            <w:vAlign w:val="center"/>
          </w:tcPr>
          <w:p w:rsidR="00D55472" w:rsidRPr="0063061C" w:rsidRDefault="00D55472" w:rsidP="005B48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63061C">
              <w:rPr>
                <w:rFonts w:ascii="Times New Roman" w:hAnsi="Times New Roman" w:cs="Times New Roman"/>
                <w:b/>
                <w:sz w:val="20"/>
                <w:szCs w:val="20"/>
                <w:lang w:val="en-US"/>
              </w:rPr>
              <w:t>+</w:t>
            </w:r>
          </w:p>
        </w:tc>
      </w:tr>
      <w:tr w:rsidR="00D55472" w:rsidRPr="0063061C" w:rsidTr="005B487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0" w:type="dxa"/>
            <w:vAlign w:val="center"/>
          </w:tcPr>
          <w:p w:rsidR="00D55472" w:rsidRPr="0063061C" w:rsidRDefault="00D55472" w:rsidP="005B4876">
            <w:pPr>
              <w:jc w:val="center"/>
              <w:rPr>
                <w:rFonts w:ascii="Times New Roman" w:hAnsi="Times New Roman" w:cs="Times New Roman"/>
                <w:sz w:val="20"/>
                <w:szCs w:val="20"/>
                <w:lang w:val="en-US"/>
              </w:rPr>
            </w:pPr>
            <w:r w:rsidRPr="0063061C">
              <w:rPr>
                <w:rFonts w:ascii="Times New Roman" w:hAnsi="Times New Roman" w:cs="Times New Roman"/>
                <w:sz w:val="20"/>
                <w:szCs w:val="20"/>
                <w:lang w:val="en-US"/>
              </w:rPr>
              <w:t>Derivatives Market</w:t>
            </w:r>
          </w:p>
        </w:tc>
        <w:tc>
          <w:tcPr>
            <w:tcW w:w="1007" w:type="dxa"/>
            <w:vAlign w:val="center"/>
          </w:tcPr>
          <w:p w:rsidR="00D55472" w:rsidRPr="0063061C" w:rsidRDefault="00D55472" w:rsidP="005B48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lang w:val="en-US"/>
              </w:rPr>
            </w:pPr>
            <w:r w:rsidRPr="0063061C">
              <w:rPr>
                <w:rFonts w:ascii="Times New Roman" w:hAnsi="Times New Roman" w:cs="Times New Roman"/>
                <w:b/>
                <w:sz w:val="20"/>
                <w:szCs w:val="20"/>
                <w:lang w:val="en-US"/>
              </w:rPr>
              <w:t>+</w:t>
            </w:r>
          </w:p>
        </w:tc>
        <w:tc>
          <w:tcPr>
            <w:tcW w:w="1417" w:type="dxa"/>
            <w:vAlign w:val="center"/>
          </w:tcPr>
          <w:p w:rsidR="00D55472" w:rsidRPr="0063061C" w:rsidRDefault="00D55472" w:rsidP="005B4876">
            <w:pPr>
              <w:ind w:firstLine="56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lang w:val="en-US"/>
              </w:rPr>
            </w:pPr>
          </w:p>
        </w:tc>
        <w:tc>
          <w:tcPr>
            <w:tcW w:w="1843" w:type="dxa"/>
            <w:vAlign w:val="center"/>
          </w:tcPr>
          <w:p w:rsidR="00D55472" w:rsidRPr="0063061C" w:rsidRDefault="00D55472" w:rsidP="005B4876">
            <w:pPr>
              <w:ind w:firstLine="56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lang w:val="en-US"/>
              </w:rPr>
            </w:pPr>
          </w:p>
        </w:tc>
        <w:tc>
          <w:tcPr>
            <w:tcW w:w="2126" w:type="dxa"/>
            <w:vAlign w:val="center"/>
          </w:tcPr>
          <w:p w:rsidR="00D55472" w:rsidRPr="0063061C" w:rsidRDefault="00D55472" w:rsidP="005B4876">
            <w:pPr>
              <w:ind w:firstLine="56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lang w:val="en-US"/>
              </w:rPr>
            </w:pPr>
          </w:p>
        </w:tc>
        <w:tc>
          <w:tcPr>
            <w:tcW w:w="958" w:type="dxa"/>
            <w:vAlign w:val="center"/>
          </w:tcPr>
          <w:p w:rsidR="00D55472" w:rsidRPr="0063061C" w:rsidRDefault="00D55472" w:rsidP="005B48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lang w:val="en-US"/>
              </w:rPr>
            </w:pPr>
            <w:r w:rsidRPr="0063061C">
              <w:rPr>
                <w:rFonts w:ascii="Times New Roman" w:hAnsi="Times New Roman" w:cs="Times New Roman"/>
                <w:b/>
                <w:sz w:val="20"/>
                <w:szCs w:val="20"/>
                <w:lang w:val="en-US"/>
              </w:rPr>
              <w:t>+</w:t>
            </w:r>
          </w:p>
        </w:tc>
      </w:tr>
      <w:tr w:rsidR="00D55472" w:rsidRPr="0063061C" w:rsidTr="005B48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0" w:type="dxa"/>
            <w:vAlign w:val="center"/>
          </w:tcPr>
          <w:p w:rsidR="00D55472" w:rsidRPr="0063061C" w:rsidRDefault="00D55472" w:rsidP="005B4876">
            <w:pPr>
              <w:jc w:val="center"/>
              <w:rPr>
                <w:rFonts w:ascii="Times New Roman" w:hAnsi="Times New Roman" w:cs="Times New Roman"/>
                <w:sz w:val="20"/>
                <w:szCs w:val="20"/>
                <w:lang w:val="en-US"/>
              </w:rPr>
            </w:pPr>
            <w:r w:rsidRPr="0063061C">
              <w:rPr>
                <w:rFonts w:ascii="Times New Roman" w:eastAsia="Calibri" w:hAnsi="Times New Roman" w:cs="Times New Roman"/>
                <w:sz w:val="20"/>
                <w:szCs w:val="20"/>
                <w:lang w:val="en-US"/>
              </w:rPr>
              <w:t xml:space="preserve">Standardized </w:t>
            </w:r>
            <w:r>
              <w:rPr>
                <w:rFonts w:ascii="Times New Roman" w:eastAsia="Calibri" w:hAnsi="Times New Roman" w:cs="Times New Roman"/>
                <w:sz w:val="20"/>
                <w:szCs w:val="20"/>
                <w:lang w:val="en-US"/>
              </w:rPr>
              <w:t>DI</w:t>
            </w:r>
            <w:r w:rsidRPr="0063061C">
              <w:rPr>
                <w:rFonts w:ascii="Times New Roman" w:eastAsia="Calibri" w:hAnsi="Times New Roman" w:cs="Times New Roman"/>
                <w:sz w:val="20"/>
                <w:szCs w:val="20"/>
                <w:lang w:val="en-US"/>
              </w:rPr>
              <w:t xml:space="preserve"> Market</w:t>
            </w:r>
          </w:p>
        </w:tc>
        <w:tc>
          <w:tcPr>
            <w:tcW w:w="1007" w:type="dxa"/>
            <w:vAlign w:val="center"/>
          </w:tcPr>
          <w:p w:rsidR="00D55472" w:rsidRPr="0063061C" w:rsidRDefault="00D55472" w:rsidP="005B48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63061C">
              <w:rPr>
                <w:rFonts w:ascii="Times New Roman" w:hAnsi="Times New Roman" w:cs="Times New Roman"/>
                <w:b/>
                <w:sz w:val="20"/>
                <w:szCs w:val="20"/>
                <w:lang w:val="en-US"/>
              </w:rPr>
              <w:t>+</w:t>
            </w:r>
          </w:p>
        </w:tc>
        <w:tc>
          <w:tcPr>
            <w:tcW w:w="1417" w:type="dxa"/>
            <w:vAlign w:val="center"/>
          </w:tcPr>
          <w:p w:rsidR="00D55472" w:rsidRPr="0063061C" w:rsidRDefault="00D55472" w:rsidP="005B4876">
            <w:pPr>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tc>
        <w:tc>
          <w:tcPr>
            <w:tcW w:w="1843" w:type="dxa"/>
            <w:vAlign w:val="center"/>
          </w:tcPr>
          <w:p w:rsidR="00D55472" w:rsidRPr="0063061C" w:rsidRDefault="00D55472" w:rsidP="005B4876">
            <w:pPr>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tc>
        <w:tc>
          <w:tcPr>
            <w:tcW w:w="2126" w:type="dxa"/>
            <w:vAlign w:val="center"/>
          </w:tcPr>
          <w:p w:rsidR="00D55472" w:rsidRPr="0063061C" w:rsidRDefault="00D55472" w:rsidP="005B4876">
            <w:pPr>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tc>
        <w:tc>
          <w:tcPr>
            <w:tcW w:w="958" w:type="dxa"/>
            <w:vAlign w:val="center"/>
          </w:tcPr>
          <w:p w:rsidR="00D55472" w:rsidRPr="0063061C" w:rsidRDefault="00D55472" w:rsidP="005B48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tc>
      </w:tr>
    </w:tbl>
    <w:p w:rsidR="00D55472" w:rsidRPr="0063061C" w:rsidRDefault="00D55472" w:rsidP="00D55472">
      <w:pPr>
        <w:spacing w:after="120" w:line="240" w:lineRule="auto"/>
        <w:ind w:firstLine="567"/>
        <w:jc w:val="both"/>
        <w:rPr>
          <w:rFonts w:ascii="Times New Roman" w:hAnsi="Times New Roman" w:cs="Times New Roman"/>
          <w:sz w:val="24"/>
          <w:szCs w:val="24"/>
          <w:lang w:val="en-US"/>
        </w:rPr>
      </w:pPr>
    </w:p>
    <w:p w:rsidR="00D55472" w:rsidRPr="0063061C" w:rsidRDefault="00D55472" w:rsidP="00D55472">
      <w:pPr>
        <w:spacing w:after="120" w:line="240" w:lineRule="auto"/>
        <w:ind w:firstLine="567"/>
        <w:jc w:val="both"/>
        <w:rPr>
          <w:rFonts w:ascii="Times New Roman" w:hAnsi="Times New Roman" w:cs="Times New Roman"/>
          <w:sz w:val="24"/>
          <w:szCs w:val="24"/>
          <w:lang w:val="en-US"/>
        </w:rPr>
      </w:pPr>
      <w:r w:rsidRPr="0063061C">
        <w:rPr>
          <w:rFonts w:ascii="Times New Roman" w:hAnsi="Times New Roman" w:cs="Times New Roman"/>
          <w:sz w:val="24"/>
          <w:szCs w:val="24"/>
          <w:lang w:val="en-US"/>
        </w:rPr>
        <w:t xml:space="preserve">In 2013 the following most significant changes were made, expanding </w:t>
      </w:r>
      <w:r>
        <w:rPr>
          <w:rFonts w:ascii="Times New Roman" w:hAnsi="Times New Roman" w:cs="Times New Roman"/>
          <w:sz w:val="24"/>
          <w:szCs w:val="24"/>
          <w:lang w:val="en-US"/>
        </w:rPr>
        <w:t xml:space="preserve">the </w:t>
      </w:r>
      <w:r w:rsidRPr="0063061C">
        <w:rPr>
          <w:rFonts w:ascii="Times New Roman" w:hAnsi="Times New Roman" w:cs="Times New Roman"/>
          <w:sz w:val="24"/>
          <w:szCs w:val="24"/>
          <w:lang w:val="en-US"/>
        </w:rPr>
        <w:t xml:space="preserve">possibilities </w:t>
      </w:r>
      <w:r>
        <w:rPr>
          <w:rFonts w:ascii="Times New Roman" w:hAnsi="Times New Roman" w:cs="Times New Roman"/>
          <w:sz w:val="24"/>
          <w:szCs w:val="24"/>
          <w:lang w:val="en-US"/>
        </w:rPr>
        <w:t>for trading</w:t>
      </w:r>
      <w:r w:rsidRPr="0063061C">
        <w:rPr>
          <w:rFonts w:ascii="Times New Roman" w:hAnsi="Times New Roman" w:cs="Times New Roman"/>
          <w:sz w:val="24"/>
          <w:szCs w:val="24"/>
          <w:lang w:val="en-US"/>
        </w:rPr>
        <w:t xml:space="preserve"> and clearing participants in the process of </w:t>
      </w:r>
      <w:hyperlink r:id="rId19" w:history="1">
        <w:r w:rsidRPr="0063061C">
          <w:rPr>
            <w:rFonts w:ascii="Times New Roman" w:hAnsi="Times New Roman" w:cs="Times New Roman"/>
            <w:sz w:val="24"/>
            <w:szCs w:val="24"/>
            <w:lang w:val="en-US"/>
          </w:rPr>
          <w:t>making trade</w:t>
        </w:r>
        <w:r>
          <w:rPr>
            <w:rFonts w:ascii="Times New Roman" w:hAnsi="Times New Roman" w:cs="Times New Roman"/>
            <w:sz w:val="24"/>
            <w:szCs w:val="24"/>
            <w:lang w:val="en-US"/>
          </w:rPr>
          <w:t>s</w:t>
        </w:r>
        <w:r w:rsidRPr="0063061C">
          <w:rPr>
            <w:rFonts w:ascii="Times New Roman" w:hAnsi="Times New Roman" w:cs="Times New Roman"/>
            <w:sz w:val="24"/>
            <w:szCs w:val="24"/>
            <w:lang w:val="en-US"/>
          </w:rPr>
          <w:t xml:space="preserve"> </w:t>
        </w:r>
      </w:hyperlink>
      <w:r w:rsidRPr="0063061C">
        <w:rPr>
          <w:rFonts w:ascii="Times New Roman" w:hAnsi="Times New Roman" w:cs="Times New Roman"/>
          <w:sz w:val="24"/>
          <w:szCs w:val="24"/>
          <w:lang w:val="en-US"/>
        </w:rPr>
        <w:t xml:space="preserve"> with NCC as a central counterparty:</w:t>
      </w:r>
    </w:p>
    <w:p w:rsidR="00D55472" w:rsidRPr="0063061C" w:rsidRDefault="00D55472" w:rsidP="00472CA4">
      <w:pPr>
        <w:numPr>
          <w:ilvl w:val="0"/>
          <w:numId w:val="43"/>
        </w:numPr>
        <w:spacing w:after="120" w:line="240" w:lineRule="auto"/>
        <w:ind w:left="1417" w:hanging="567"/>
        <w:contextualSpacing/>
        <w:jc w:val="both"/>
        <w:rPr>
          <w:rFonts w:ascii="Times New Roman" w:eastAsia="Calibri" w:hAnsi="Times New Roman" w:cs="Times New Roman"/>
          <w:sz w:val="24"/>
          <w:szCs w:val="24"/>
          <w:lang w:val="en-US"/>
        </w:rPr>
      </w:pPr>
      <w:r w:rsidRPr="0063061C">
        <w:rPr>
          <w:rFonts w:ascii="Times New Roman" w:eastAsia="Calibri" w:hAnsi="Times New Roman" w:cs="Times New Roman"/>
          <w:sz w:val="24"/>
          <w:szCs w:val="24"/>
          <w:lang w:val="en-US"/>
        </w:rPr>
        <w:t>on the foreign exchange market –</w:t>
      </w:r>
      <w:r w:rsidR="004A635D" w:rsidRPr="004A635D">
        <w:rPr>
          <w:rFonts w:ascii="Times New Roman" w:eastAsia="Calibri" w:hAnsi="Times New Roman" w:cs="Times New Roman"/>
          <w:sz w:val="24"/>
          <w:szCs w:val="24"/>
          <w:lang w:val="en-US"/>
        </w:rPr>
        <w:t xml:space="preserve"> </w:t>
      </w:r>
      <w:r w:rsidRPr="0063061C">
        <w:rPr>
          <w:rFonts w:ascii="Times New Roman" w:eastAsia="Calibri" w:hAnsi="Times New Roman" w:cs="Times New Roman"/>
          <w:sz w:val="24"/>
          <w:szCs w:val="24"/>
          <w:lang w:val="en-US"/>
        </w:rPr>
        <w:t xml:space="preserve">expansion of assets </w:t>
      </w:r>
      <w:r>
        <w:rPr>
          <w:rFonts w:ascii="Times New Roman" w:hAnsi="Times New Roman" w:cs="Times New Roman"/>
          <w:sz w:val="24"/>
          <w:szCs w:val="24"/>
          <w:lang w:val="en-US"/>
        </w:rPr>
        <w:t>accepted as</w:t>
      </w:r>
      <w:r w:rsidRPr="0063061C">
        <w:rPr>
          <w:rFonts w:ascii="Times New Roman" w:hAnsi="Times New Roman" w:cs="Times New Roman"/>
          <w:sz w:val="24"/>
          <w:szCs w:val="24"/>
          <w:lang w:val="en-US"/>
        </w:rPr>
        <w:t xml:space="preserve"> </w:t>
      </w:r>
      <w:r w:rsidRPr="0063061C">
        <w:rPr>
          <w:rFonts w:ascii="Times New Roman" w:hAnsi="Times New Roman" w:cs="Times New Roman"/>
          <w:kern w:val="24"/>
          <w:sz w:val="24"/>
          <w:szCs w:val="24"/>
          <w:lang w:val="en-US"/>
        </w:rPr>
        <w:t>collateral</w:t>
      </w:r>
      <w:r w:rsidRPr="0063061C">
        <w:rPr>
          <w:rFonts w:ascii="Times New Roman" w:eastAsia="Calibri" w:hAnsi="Times New Roman" w:cs="Times New Roman"/>
          <w:sz w:val="24"/>
          <w:szCs w:val="24"/>
          <w:lang w:val="en-US"/>
        </w:rPr>
        <w:t xml:space="preserve"> by adding precious metals and new foreign currency (Chinese </w:t>
      </w:r>
      <w:proofErr w:type="spellStart"/>
      <w:r>
        <w:rPr>
          <w:rFonts w:ascii="Times New Roman" w:eastAsia="Calibri" w:hAnsi="Times New Roman" w:cs="Times New Roman"/>
          <w:sz w:val="24"/>
          <w:szCs w:val="24"/>
          <w:lang w:val="en-US"/>
        </w:rPr>
        <w:t>renminbi</w:t>
      </w:r>
      <w:proofErr w:type="spellEnd"/>
      <w:r w:rsidRPr="0063061C">
        <w:rPr>
          <w:rFonts w:ascii="Times New Roman" w:eastAsia="Calibri" w:hAnsi="Times New Roman" w:cs="Times New Roman"/>
          <w:sz w:val="24"/>
          <w:szCs w:val="24"/>
          <w:lang w:val="en-US"/>
        </w:rPr>
        <w:t>);</w:t>
      </w:r>
    </w:p>
    <w:p w:rsidR="00D55472" w:rsidRPr="0063061C" w:rsidRDefault="00D55472" w:rsidP="00472CA4">
      <w:pPr>
        <w:numPr>
          <w:ilvl w:val="0"/>
          <w:numId w:val="43"/>
        </w:numPr>
        <w:spacing w:after="120" w:line="240" w:lineRule="auto"/>
        <w:ind w:left="1417" w:hanging="567"/>
        <w:contextualSpacing/>
        <w:jc w:val="both"/>
        <w:rPr>
          <w:rFonts w:ascii="Times New Roman" w:eastAsia="Calibri" w:hAnsi="Times New Roman" w:cs="Times New Roman"/>
          <w:sz w:val="24"/>
          <w:szCs w:val="24"/>
          <w:lang w:val="en-US"/>
        </w:rPr>
      </w:pPr>
      <w:r w:rsidRPr="0063061C">
        <w:rPr>
          <w:rFonts w:ascii="Times New Roman" w:eastAsia="Calibri" w:hAnsi="Times New Roman" w:cs="Times New Roman"/>
          <w:sz w:val="24"/>
          <w:szCs w:val="24"/>
          <w:lang w:val="en-US"/>
        </w:rPr>
        <w:t xml:space="preserve">on the </w:t>
      </w:r>
      <w:r>
        <w:rPr>
          <w:rFonts w:ascii="Times New Roman" w:eastAsia="Calibri" w:hAnsi="Times New Roman" w:cs="Times New Roman"/>
          <w:sz w:val="24"/>
          <w:szCs w:val="24"/>
          <w:lang w:val="en-US"/>
        </w:rPr>
        <w:t>securities</w:t>
      </w:r>
      <w:r w:rsidRPr="0063061C">
        <w:rPr>
          <w:rFonts w:ascii="Times New Roman" w:eastAsia="Calibri" w:hAnsi="Times New Roman" w:cs="Times New Roman"/>
          <w:sz w:val="24"/>
          <w:szCs w:val="24"/>
          <w:lang w:val="en-US"/>
        </w:rPr>
        <w:t xml:space="preserve"> market – partial collateral</w:t>
      </w:r>
      <w:r>
        <w:rPr>
          <w:rFonts w:ascii="Times New Roman" w:eastAsia="Calibri" w:hAnsi="Times New Roman" w:cs="Times New Roman"/>
          <w:sz w:val="24"/>
          <w:szCs w:val="24"/>
          <w:lang w:val="en-US"/>
        </w:rPr>
        <w:t>ization</w:t>
      </w:r>
      <w:r w:rsidRPr="0063061C">
        <w:rPr>
          <w:rFonts w:ascii="Times New Roman" w:eastAsia="Calibri" w:hAnsi="Times New Roman" w:cs="Times New Roman"/>
          <w:sz w:val="24"/>
          <w:szCs w:val="24"/>
          <w:lang w:val="en-US"/>
        </w:rPr>
        <w:t xml:space="preserve"> was implemented, </w:t>
      </w:r>
      <w:r>
        <w:rPr>
          <w:rFonts w:ascii="Times New Roman" w:eastAsia="Calibri" w:hAnsi="Times New Roman" w:cs="Times New Roman"/>
          <w:sz w:val="24"/>
          <w:szCs w:val="24"/>
          <w:lang w:val="en-US"/>
        </w:rPr>
        <w:t>that</w:t>
      </w:r>
      <w:r w:rsidRPr="0063061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makes it possible for</w:t>
      </w:r>
      <w:r w:rsidRPr="0063061C">
        <w:rPr>
          <w:rFonts w:ascii="Times New Roman" w:eastAsia="Calibri" w:hAnsi="Times New Roman" w:cs="Times New Roman"/>
          <w:sz w:val="24"/>
          <w:szCs w:val="24"/>
          <w:lang w:val="en-US"/>
        </w:rPr>
        <w:t xml:space="preserve"> clearing participants to use a wide range of securities, as well as foreign currency, as collateral;</w:t>
      </w:r>
    </w:p>
    <w:p w:rsidR="00D55472" w:rsidRPr="0063061C" w:rsidRDefault="00D55472" w:rsidP="00472CA4">
      <w:pPr>
        <w:numPr>
          <w:ilvl w:val="0"/>
          <w:numId w:val="43"/>
        </w:numPr>
        <w:spacing w:after="120" w:line="240" w:lineRule="auto"/>
        <w:ind w:left="1417" w:hanging="567"/>
        <w:contextualSpacing/>
        <w:jc w:val="both"/>
        <w:rPr>
          <w:rFonts w:ascii="Times New Roman" w:eastAsia="Calibri" w:hAnsi="Times New Roman" w:cs="Times New Roman"/>
          <w:sz w:val="24"/>
          <w:szCs w:val="24"/>
          <w:lang w:val="en-US"/>
        </w:rPr>
      </w:pPr>
      <w:proofErr w:type="gramStart"/>
      <w:r w:rsidRPr="0063061C">
        <w:rPr>
          <w:rFonts w:ascii="Times New Roman" w:eastAsia="Calibri" w:hAnsi="Times New Roman" w:cs="Times New Roman"/>
          <w:sz w:val="24"/>
          <w:szCs w:val="24"/>
          <w:lang w:val="en-US"/>
        </w:rPr>
        <w:t>on</w:t>
      </w:r>
      <w:proofErr w:type="gramEnd"/>
      <w:r w:rsidRPr="0063061C">
        <w:rPr>
          <w:rFonts w:ascii="Times New Roman" w:eastAsia="Calibri" w:hAnsi="Times New Roman" w:cs="Times New Roman"/>
          <w:sz w:val="24"/>
          <w:szCs w:val="24"/>
          <w:lang w:val="en-US"/>
        </w:rPr>
        <w:t xml:space="preserve"> the derivatives market – </w:t>
      </w:r>
      <w:r>
        <w:rPr>
          <w:rFonts w:ascii="Times New Roman" w:eastAsia="Calibri" w:hAnsi="Times New Roman" w:cs="Times New Roman"/>
          <w:sz w:val="24"/>
          <w:szCs w:val="24"/>
          <w:lang w:val="en-US"/>
        </w:rPr>
        <w:t>the</w:t>
      </w:r>
      <w:r w:rsidRPr="0063061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limit</w:t>
      </w:r>
      <w:r w:rsidRPr="0063061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of</w:t>
      </w:r>
      <w:r w:rsidRPr="0063061C">
        <w:rPr>
          <w:rFonts w:ascii="Times New Roman" w:eastAsia="Calibri" w:hAnsi="Times New Roman" w:cs="Times New Roman"/>
          <w:sz w:val="24"/>
          <w:szCs w:val="24"/>
          <w:lang w:val="en-US"/>
        </w:rPr>
        <w:t xml:space="preserve"> 100% </w:t>
      </w:r>
      <w:r>
        <w:rPr>
          <w:rFonts w:ascii="Times New Roman" w:eastAsia="Calibri" w:hAnsi="Times New Roman" w:cs="Times New Roman"/>
          <w:sz w:val="24"/>
          <w:szCs w:val="24"/>
          <w:lang w:val="en-US"/>
        </w:rPr>
        <w:t>was set for</w:t>
      </w:r>
      <w:r w:rsidRPr="0063061C">
        <w:rPr>
          <w:rFonts w:ascii="Times New Roman" w:eastAsia="Calibri" w:hAnsi="Times New Roman" w:cs="Times New Roman"/>
          <w:sz w:val="24"/>
          <w:szCs w:val="24"/>
          <w:lang w:val="en-US"/>
        </w:rPr>
        <w:t xml:space="preserve"> collateral in foreign currency (</w:t>
      </w:r>
      <w:r>
        <w:rPr>
          <w:rFonts w:ascii="Times New Roman" w:eastAsia="Calibri" w:hAnsi="Times New Roman" w:cs="Times New Roman"/>
          <w:sz w:val="24"/>
          <w:szCs w:val="24"/>
          <w:lang w:val="en-US"/>
        </w:rPr>
        <w:t>previously the concentration limit was set at</w:t>
      </w:r>
      <w:r w:rsidRPr="0063061C">
        <w:rPr>
          <w:rFonts w:ascii="Times New Roman" w:eastAsia="Calibri" w:hAnsi="Times New Roman" w:cs="Times New Roman"/>
          <w:sz w:val="24"/>
          <w:szCs w:val="24"/>
          <w:lang w:val="en-US"/>
        </w:rPr>
        <w:t xml:space="preserve"> 50%), enabling clearing participants to </w:t>
      </w:r>
      <w:r>
        <w:rPr>
          <w:rFonts w:ascii="Times New Roman" w:eastAsia="Calibri" w:hAnsi="Times New Roman" w:cs="Times New Roman"/>
          <w:sz w:val="24"/>
          <w:szCs w:val="24"/>
          <w:lang w:val="en-US"/>
        </w:rPr>
        <w:t>manage</w:t>
      </w:r>
      <w:r w:rsidRPr="0063061C">
        <w:rPr>
          <w:rFonts w:ascii="Times New Roman" w:eastAsia="Calibri" w:hAnsi="Times New Roman" w:cs="Times New Roman"/>
          <w:sz w:val="24"/>
          <w:szCs w:val="24"/>
          <w:lang w:val="en-US"/>
        </w:rPr>
        <w:t xml:space="preserve"> collateral more </w:t>
      </w:r>
      <w:r w:rsidRPr="0063061C">
        <w:rPr>
          <w:rFonts w:ascii="Times New Roman" w:eastAsia="Times New Roman" w:hAnsi="Times New Roman" w:cs="Times New Roman"/>
          <w:sz w:val="24"/>
          <w:szCs w:val="24"/>
          <w:lang w:val="en-US" w:eastAsia="ru-RU"/>
        </w:rPr>
        <w:t>efficient</w:t>
      </w:r>
      <w:r w:rsidRPr="0063061C">
        <w:rPr>
          <w:rFonts w:ascii="Times New Roman" w:eastAsia="Calibri" w:hAnsi="Times New Roman" w:cs="Times New Roman"/>
          <w:sz w:val="24"/>
          <w:szCs w:val="24"/>
          <w:lang w:val="en-US"/>
        </w:rPr>
        <w:t>ly.</w:t>
      </w:r>
    </w:p>
    <w:p w:rsidR="00D55472" w:rsidRPr="0063061C" w:rsidRDefault="00D55472" w:rsidP="00D55472">
      <w:pPr>
        <w:spacing w:after="120" w:line="240" w:lineRule="auto"/>
        <w:ind w:firstLine="567"/>
        <w:jc w:val="both"/>
        <w:rPr>
          <w:rFonts w:ascii="Times New Roman" w:hAnsi="Times New Roman" w:cs="Times New Roman"/>
          <w:sz w:val="24"/>
          <w:szCs w:val="24"/>
          <w:lang w:val="en-US"/>
        </w:rPr>
      </w:pPr>
    </w:p>
    <w:p w:rsidR="00D55472" w:rsidRPr="0063061C" w:rsidRDefault="00D55472" w:rsidP="00D55472">
      <w:pPr>
        <w:spacing w:before="100" w:after="120" w:line="240" w:lineRule="auto"/>
        <w:jc w:val="center"/>
        <w:rPr>
          <w:rFonts w:ascii="Times New Roman" w:hAnsi="Times New Roman" w:cs="Times New Roman"/>
          <w:b/>
          <w:sz w:val="24"/>
          <w:szCs w:val="24"/>
          <w:lang w:val="en-US"/>
        </w:rPr>
      </w:pPr>
      <w:r w:rsidRPr="0063061C">
        <w:rPr>
          <w:rFonts w:ascii="Times New Roman" w:hAnsi="Times New Roman" w:cs="Times New Roman"/>
          <w:b/>
          <w:sz w:val="24"/>
          <w:szCs w:val="24"/>
          <w:lang w:val="en-US"/>
        </w:rPr>
        <w:t xml:space="preserve">NCC </w:t>
      </w:r>
      <w:r>
        <w:rPr>
          <w:rFonts w:ascii="Times New Roman" w:hAnsi="Times New Roman" w:cs="Times New Roman"/>
          <w:b/>
          <w:sz w:val="24"/>
          <w:szCs w:val="24"/>
          <w:lang w:val="en-US"/>
        </w:rPr>
        <w:t>Default</w:t>
      </w:r>
      <w:r w:rsidRPr="0063061C">
        <w:rPr>
          <w:rFonts w:ascii="Times New Roman" w:hAnsi="Times New Roman" w:cs="Times New Roman"/>
          <w:b/>
          <w:sz w:val="24"/>
          <w:szCs w:val="24"/>
          <w:lang w:val="en-US"/>
        </w:rPr>
        <w:t xml:space="preserve"> Funds and </w:t>
      </w:r>
      <w:r>
        <w:rPr>
          <w:rFonts w:ascii="Times New Roman" w:hAnsi="Times New Roman" w:cs="Times New Roman"/>
          <w:b/>
          <w:sz w:val="24"/>
          <w:szCs w:val="24"/>
          <w:lang w:val="en-US"/>
        </w:rPr>
        <w:t>Own Capital</w:t>
      </w:r>
      <w:r w:rsidRPr="0063061C">
        <w:rPr>
          <w:rFonts w:ascii="Times New Roman" w:hAnsi="Times New Roman" w:cs="Times New Roman"/>
          <w:b/>
          <w:sz w:val="24"/>
          <w:szCs w:val="24"/>
          <w:lang w:val="en-US"/>
        </w:rPr>
        <w:t xml:space="preserve"> Used in Case of </w:t>
      </w:r>
      <w:r w:rsidRPr="0063061C">
        <w:rPr>
          <w:rFonts w:ascii="Times New Roman" w:eastAsia="Calibri" w:hAnsi="Times New Roman" w:cs="Times New Roman"/>
          <w:b/>
          <w:sz w:val="24"/>
          <w:szCs w:val="24"/>
          <w:lang w:val="en-US"/>
        </w:rPr>
        <w:t>Clearing Participants’</w:t>
      </w:r>
      <w:r w:rsidRPr="0063061C">
        <w:rPr>
          <w:rFonts w:ascii="Times New Roman" w:hAnsi="Times New Roman" w:cs="Times New Roman"/>
          <w:b/>
          <w:sz w:val="24"/>
          <w:szCs w:val="24"/>
          <w:lang w:val="en-US"/>
        </w:rPr>
        <w:t xml:space="preserve"> Default</w:t>
      </w:r>
    </w:p>
    <w:p w:rsidR="00D55472" w:rsidRPr="0063061C" w:rsidRDefault="00D55472" w:rsidP="00D55472">
      <w:pPr>
        <w:spacing w:after="120" w:line="240" w:lineRule="auto"/>
        <w:ind w:firstLine="567"/>
        <w:jc w:val="both"/>
        <w:rPr>
          <w:rFonts w:ascii="Times New Roman" w:hAnsi="Times New Roman" w:cs="Times New Roman"/>
          <w:sz w:val="24"/>
          <w:szCs w:val="24"/>
          <w:lang w:val="en-US"/>
        </w:rPr>
      </w:pPr>
      <w:r w:rsidRPr="0063061C">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default waterfall mechanism </w:t>
      </w:r>
      <w:r w:rsidRPr="0063061C">
        <w:rPr>
          <w:rFonts w:ascii="Times New Roman" w:hAnsi="Times New Roman" w:cs="Times New Roman"/>
          <w:sz w:val="24"/>
          <w:szCs w:val="24"/>
          <w:lang w:val="en-US"/>
        </w:rPr>
        <w:t>on the markets of</w:t>
      </w:r>
      <w:r>
        <w:rPr>
          <w:rFonts w:ascii="Times New Roman" w:hAnsi="Times New Roman" w:cs="Times New Roman"/>
          <w:sz w:val="24"/>
          <w:szCs w:val="24"/>
          <w:lang w:val="en-US"/>
        </w:rPr>
        <w:t xml:space="preserve"> the</w:t>
      </w:r>
      <w:r w:rsidRPr="0063061C">
        <w:rPr>
          <w:rFonts w:ascii="Times New Roman" w:hAnsi="Times New Roman" w:cs="Times New Roman"/>
          <w:sz w:val="24"/>
          <w:szCs w:val="24"/>
          <w:lang w:val="en-US"/>
        </w:rPr>
        <w:t xml:space="preserve"> </w:t>
      </w:r>
      <w:r w:rsidRPr="0063061C">
        <w:rPr>
          <w:rFonts w:ascii="Times New Roman" w:eastAsia="Calibri" w:hAnsi="Times New Roman" w:cs="Times New Roman"/>
          <w:sz w:val="24"/>
          <w:szCs w:val="24"/>
          <w:lang w:val="en-US"/>
        </w:rPr>
        <w:t>Moscow Exchange Group</w:t>
      </w:r>
      <w:r w:rsidRPr="0063061C">
        <w:rPr>
          <w:rFonts w:ascii="Times New Roman" w:hAnsi="Times New Roman" w:cs="Times New Roman"/>
          <w:sz w:val="24"/>
          <w:szCs w:val="24"/>
          <w:lang w:val="en-US"/>
        </w:rPr>
        <w:t xml:space="preserve"> </w:t>
      </w:r>
      <w:r>
        <w:rPr>
          <w:rFonts w:ascii="Times New Roman" w:hAnsi="Times New Roman" w:cs="Times New Roman"/>
          <w:sz w:val="24"/>
          <w:szCs w:val="24"/>
          <w:lang w:val="en-US"/>
        </w:rPr>
        <w:t>includes</w:t>
      </w:r>
      <w:r w:rsidRPr="0063061C">
        <w:rPr>
          <w:rFonts w:ascii="Times New Roman" w:hAnsi="Times New Roman" w:cs="Times New Roman"/>
          <w:sz w:val="24"/>
          <w:szCs w:val="24"/>
          <w:lang w:val="en-US"/>
        </w:rPr>
        <w:t>:</w:t>
      </w:r>
    </w:p>
    <w:p w:rsidR="00D55472" w:rsidRPr="0063061C" w:rsidRDefault="00D55472" w:rsidP="00472CA4">
      <w:pPr>
        <w:numPr>
          <w:ilvl w:val="0"/>
          <w:numId w:val="44"/>
        </w:numPr>
        <w:spacing w:after="120" w:line="240" w:lineRule="auto"/>
        <w:ind w:left="1417" w:hanging="567"/>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cash and non-cash collateral pre-posted</w:t>
      </w:r>
      <w:r w:rsidRPr="00C7098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by </w:t>
      </w:r>
      <w:r w:rsidRPr="0063061C">
        <w:rPr>
          <w:rFonts w:ascii="Times New Roman" w:eastAsia="Calibri" w:hAnsi="Times New Roman" w:cs="Times New Roman"/>
          <w:sz w:val="24"/>
          <w:szCs w:val="24"/>
          <w:lang w:val="en-US"/>
        </w:rPr>
        <w:t>clearing participants</w:t>
      </w:r>
      <w:r>
        <w:rPr>
          <w:rFonts w:ascii="Times New Roman" w:eastAsia="Calibri" w:hAnsi="Times New Roman" w:cs="Times New Roman"/>
          <w:sz w:val="24"/>
          <w:szCs w:val="24"/>
          <w:lang w:val="en-US"/>
        </w:rPr>
        <w:t xml:space="preserve"> </w:t>
      </w:r>
      <w:r w:rsidRPr="0063061C">
        <w:rPr>
          <w:rFonts w:ascii="Times New Roman" w:eastAsia="Calibri" w:hAnsi="Times New Roman" w:cs="Times New Roman"/>
          <w:sz w:val="24"/>
          <w:szCs w:val="24"/>
          <w:lang w:val="en-US"/>
        </w:rPr>
        <w:t xml:space="preserve">which can be used for fulfillment of their </w:t>
      </w:r>
      <w:r>
        <w:rPr>
          <w:rFonts w:ascii="Times New Roman" w:eastAsia="Calibri" w:hAnsi="Times New Roman" w:cs="Times New Roman"/>
          <w:sz w:val="24"/>
          <w:szCs w:val="24"/>
          <w:lang w:val="en-US"/>
        </w:rPr>
        <w:t xml:space="preserve">trade </w:t>
      </w:r>
      <w:r w:rsidRPr="0063061C">
        <w:rPr>
          <w:rFonts w:ascii="Times New Roman" w:eastAsia="Calibri" w:hAnsi="Times New Roman" w:cs="Times New Roman"/>
          <w:sz w:val="24"/>
          <w:szCs w:val="24"/>
          <w:lang w:val="en-US"/>
        </w:rPr>
        <w:t>obligations;</w:t>
      </w:r>
    </w:p>
    <w:p w:rsidR="00D55472" w:rsidRPr="0063061C" w:rsidRDefault="00D55472" w:rsidP="00472CA4">
      <w:pPr>
        <w:numPr>
          <w:ilvl w:val="0"/>
          <w:numId w:val="44"/>
        </w:numPr>
        <w:spacing w:after="120" w:line="240" w:lineRule="auto"/>
        <w:ind w:left="1417" w:hanging="567"/>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default collective (g</w:t>
      </w:r>
      <w:r w:rsidRPr="0063061C">
        <w:rPr>
          <w:rFonts w:ascii="Times New Roman" w:hAnsi="Times New Roman" w:cs="Times New Roman"/>
          <w:sz w:val="24"/>
          <w:szCs w:val="24"/>
          <w:lang w:val="en-US"/>
        </w:rPr>
        <w:t>uarantee</w:t>
      </w:r>
      <w:r>
        <w:rPr>
          <w:rFonts w:ascii="Times New Roman" w:hAnsi="Times New Roman" w:cs="Times New Roman"/>
          <w:sz w:val="24"/>
          <w:szCs w:val="24"/>
          <w:lang w:val="en-US"/>
        </w:rPr>
        <w:t>)</w:t>
      </w:r>
      <w:r>
        <w:rPr>
          <w:rFonts w:ascii="Times New Roman" w:eastAsia="Calibri" w:hAnsi="Times New Roman" w:cs="Times New Roman"/>
          <w:sz w:val="24"/>
          <w:szCs w:val="24"/>
          <w:lang w:val="en-US"/>
        </w:rPr>
        <w:t xml:space="preserve"> </w:t>
      </w:r>
      <w:r w:rsidRPr="0063061C">
        <w:rPr>
          <w:rFonts w:ascii="Times New Roman" w:eastAsia="Calibri" w:hAnsi="Times New Roman" w:cs="Times New Roman"/>
          <w:sz w:val="24"/>
          <w:szCs w:val="24"/>
          <w:lang w:val="en-US"/>
        </w:rPr>
        <w:t xml:space="preserve">funds </w:t>
      </w:r>
      <w:r>
        <w:rPr>
          <w:rFonts w:ascii="Times New Roman" w:eastAsia="Calibri" w:hAnsi="Times New Roman" w:cs="Times New Roman"/>
          <w:sz w:val="24"/>
          <w:szCs w:val="24"/>
          <w:lang w:val="en-US"/>
        </w:rPr>
        <w:t>funded by contributions</w:t>
      </w:r>
      <w:r w:rsidRPr="0063061C">
        <w:rPr>
          <w:rFonts w:ascii="Times New Roman" w:eastAsia="Calibri" w:hAnsi="Times New Roman" w:cs="Times New Roman"/>
          <w:sz w:val="24"/>
          <w:szCs w:val="24"/>
          <w:lang w:val="en-US"/>
        </w:rPr>
        <w:t xml:space="preserve">  made by market</w:t>
      </w:r>
      <w:r>
        <w:rPr>
          <w:rFonts w:ascii="Times New Roman" w:eastAsia="Calibri" w:hAnsi="Times New Roman" w:cs="Times New Roman"/>
          <w:sz w:val="24"/>
          <w:szCs w:val="24"/>
          <w:lang w:val="en-US"/>
        </w:rPr>
        <w:t xml:space="preserve"> participants</w:t>
      </w:r>
      <w:r w:rsidRPr="0063061C">
        <w:rPr>
          <w:rFonts w:ascii="Times New Roman" w:eastAsia="Calibri" w:hAnsi="Times New Roman" w:cs="Times New Roman"/>
          <w:sz w:val="24"/>
          <w:szCs w:val="24"/>
          <w:lang w:val="en-US"/>
        </w:rPr>
        <w:t xml:space="preserve"> and </w:t>
      </w:r>
      <w:r>
        <w:rPr>
          <w:rFonts w:ascii="Times New Roman" w:eastAsia="Calibri" w:hAnsi="Times New Roman" w:cs="Times New Roman"/>
          <w:sz w:val="24"/>
          <w:szCs w:val="24"/>
          <w:lang w:val="en-US"/>
        </w:rPr>
        <w:t xml:space="preserve">the </w:t>
      </w:r>
      <w:r w:rsidRPr="0063061C">
        <w:rPr>
          <w:rFonts w:ascii="Times New Roman" w:eastAsia="Calibri" w:hAnsi="Times New Roman" w:cs="Times New Roman"/>
          <w:sz w:val="24"/>
          <w:szCs w:val="24"/>
          <w:lang w:val="en-US"/>
        </w:rPr>
        <w:t>clearing organization;</w:t>
      </w:r>
    </w:p>
    <w:p w:rsidR="00D55472" w:rsidRPr="0063061C" w:rsidRDefault="00D55472" w:rsidP="00472CA4">
      <w:pPr>
        <w:numPr>
          <w:ilvl w:val="0"/>
          <w:numId w:val="44"/>
        </w:numPr>
        <w:spacing w:after="120" w:line="240" w:lineRule="auto"/>
        <w:ind w:left="1417" w:hanging="567"/>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NCC’s own capital</w:t>
      </w:r>
      <w:r w:rsidRPr="0063061C">
        <w:rPr>
          <w:rFonts w:ascii="Times New Roman" w:eastAsia="Calibri" w:hAnsi="Times New Roman" w:cs="Times New Roman"/>
          <w:sz w:val="24"/>
          <w:szCs w:val="24"/>
          <w:lang w:val="en-US"/>
        </w:rPr>
        <w:t xml:space="preserve">. </w:t>
      </w:r>
    </w:p>
    <w:p w:rsidR="00D55472" w:rsidRPr="0063061C" w:rsidRDefault="00D55472" w:rsidP="00D55472">
      <w:pPr>
        <w:spacing w:after="120" w:line="240" w:lineRule="auto"/>
        <w:ind w:firstLine="567"/>
        <w:jc w:val="both"/>
        <w:rPr>
          <w:rFonts w:ascii="Times New Roman" w:eastAsia="Calibri" w:hAnsi="Times New Roman" w:cs="Times New Roman"/>
          <w:sz w:val="24"/>
          <w:szCs w:val="24"/>
          <w:lang w:val="en-US"/>
        </w:rPr>
      </w:pPr>
    </w:p>
    <w:p w:rsidR="00D55472" w:rsidRPr="0063061C" w:rsidRDefault="00D55472" w:rsidP="00D55472">
      <w:pPr>
        <w:spacing w:after="120" w:line="240" w:lineRule="auto"/>
        <w:ind w:firstLine="567"/>
        <w:jc w:val="both"/>
        <w:rPr>
          <w:rFonts w:ascii="Times New Roman" w:eastAsia="Times New Roman" w:hAnsi="Times New Roman" w:cs="Times New Roman"/>
          <w:iCs/>
          <w:sz w:val="24"/>
          <w:szCs w:val="24"/>
          <w:lang w:val="en-US"/>
        </w:rPr>
      </w:pPr>
      <w:r w:rsidRPr="0063061C">
        <w:rPr>
          <w:rFonts w:ascii="Times New Roman" w:eastAsia="Calibri" w:hAnsi="Times New Roman" w:cs="Times New Roman"/>
          <w:sz w:val="24"/>
          <w:szCs w:val="24"/>
          <w:lang w:val="en-US"/>
        </w:rPr>
        <w:t>According to the international standards for</w:t>
      </w:r>
      <w:r>
        <w:rPr>
          <w:rFonts w:ascii="Times New Roman" w:eastAsia="Calibri" w:hAnsi="Times New Roman" w:cs="Times New Roman"/>
          <w:sz w:val="24"/>
          <w:szCs w:val="24"/>
          <w:lang w:val="en-US"/>
        </w:rPr>
        <w:t xml:space="preserve"> clearing organizations-CCPs,</w:t>
      </w:r>
      <w:r>
        <w:rPr>
          <w:rFonts w:ascii="Times New Roman" w:hAnsi="Times New Roman" w:cs="Times New Roman"/>
          <w:sz w:val="24"/>
          <w:szCs w:val="24"/>
          <w:lang w:val="en-US"/>
        </w:rPr>
        <w:t xml:space="preserve"> </w:t>
      </w:r>
      <w:r w:rsidRPr="0063061C">
        <w:rPr>
          <w:rFonts w:ascii="Times New Roman" w:hAnsi="Times New Roman" w:cs="Times New Roman"/>
          <w:sz w:val="24"/>
          <w:szCs w:val="24"/>
          <w:lang w:val="en-US"/>
        </w:rPr>
        <w:t xml:space="preserve">the level of risk coverage </w:t>
      </w:r>
      <w:r>
        <w:rPr>
          <w:rFonts w:ascii="Times New Roman" w:hAnsi="Times New Roman" w:cs="Times New Roman"/>
          <w:sz w:val="24"/>
          <w:szCs w:val="24"/>
          <w:lang w:val="en-US"/>
        </w:rPr>
        <w:t>by</w:t>
      </w:r>
      <w:r w:rsidRPr="0063061C">
        <w:rPr>
          <w:rFonts w:ascii="Times New Roman" w:hAnsi="Times New Roman" w:cs="Times New Roman"/>
          <w:sz w:val="24"/>
          <w:szCs w:val="24"/>
          <w:lang w:val="en-US"/>
        </w:rPr>
        <w:t xml:space="preserve"> </w:t>
      </w:r>
      <w:r>
        <w:rPr>
          <w:rFonts w:ascii="Times New Roman" w:eastAsia="Calibri" w:hAnsi="Times New Roman" w:cs="Times New Roman"/>
          <w:sz w:val="24"/>
          <w:szCs w:val="24"/>
          <w:lang w:val="en-US"/>
        </w:rPr>
        <w:t>default</w:t>
      </w:r>
      <w:r w:rsidRPr="0063061C">
        <w:rPr>
          <w:rFonts w:ascii="Times New Roman" w:eastAsia="Calibri" w:hAnsi="Times New Roman" w:cs="Times New Roman"/>
          <w:sz w:val="24"/>
          <w:szCs w:val="24"/>
          <w:lang w:val="en-US"/>
        </w:rPr>
        <w:t xml:space="preserve"> funds </w:t>
      </w:r>
      <w:r w:rsidRPr="0063061C">
        <w:rPr>
          <w:rFonts w:ascii="Times New Roman" w:hAnsi="Times New Roman" w:cs="Times New Roman"/>
          <w:sz w:val="24"/>
          <w:szCs w:val="24"/>
          <w:lang w:val="en-US"/>
        </w:rPr>
        <w:t>is considered to be sufficient provided that these funds</w:t>
      </w:r>
      <w:r>
        <w:rPr>
          <w:rFonts w:ascii="Times New Roman" w:hAnsi="Times New Roman" w:cs="Times New Roman"/>
          <w:sz w:val="24"/>
          <w:szCs w:val="24"/>
          <w:lang w:val="en-US"/>
        </w:rPr>
        <w:t xml:space="preserve"> are enough to cover, within short period of time, </w:t>
      </w:r>
      <w:r w:rsidRPr="0063061C">
        <w:rPr>
          <w:rFonts w:ascii="Times New Roman" w:hAnsi="Times New Roman" w:cs="Times New Roman"/>
          <w:sz w:val="24"/>
          <w:szCs w:val="24"/>
          <w:lang w:val="en-US"/>
        </w:rPr>
        <w:t>maximum risk</w:t>
      </w:r>
      <w:r>
        <w:rPr>
          <w:rFonts w:ascii="Times New Roman" w:hAnsi="Times New Roman" w:cs="Times New Roman"/>
          <w:sz w:val="24"/>
          <w:szCs w:val="24"/>
          <w:lang w:val="en-US"/>
        </w:rPr>
        <w:t xml:space="preserve"> arising from at least one or two default positions.</w:t>
      </w:r>
      <w:r w:rsidRPr="0063061C">
        <w:rPr>
          <w:rFonts w:ascii="Times New Roman" w:hAnsi="Times New Roman" w:cs="Times New Roman"/>
          <w:sz w:val="24"/>
          <w:szCs w:val="24"/>
          <w:lang w:val="en-US"/>
        </w:rPr>
        <w:t xml:space="preserve"> </w:t>
      </w:r>
      <w:r w:rsidRPr="0063061C">
        <w:rPr>
          <w:rFonts w:ascii="Times New Roman" w:eastAsia="Calibri" w:hAnsi="Times New Roman" w:cs="Times New Roman"/>
          <w:sz w:val="24"/>
          <w:szCs w:val="24"/>
          <w:lang w:val="en-US"/>
        </w:rPr>
        <w:t>NCC</w:t>
      </w:r>
      <w:r>
        <w:rPr>
          <w:rFonts w:ascii="Times New Roman" w:eastAsia="Calibri" w:hAnsi="Times New Roman" w:cs="Times New Roman"/>
          <w:sz w:val="24"/>
          <w:szCs w:val="24"/>
          <w:lang w:val="en-US"/>
        </w:rPr>
        <w:t xml:space="preserve"> maintains default funds sufficient to</w:t>
      </w:r>
      <w:r w:rsidRPr="0063061C">
        <w:rPr>
          <w:rFonts w:ascii="Times New Roman" w:eastAsia="Calibri" w:hAnsi="Times New Roman" w:cs="Times New Roman"/>
          <w:sz w:val="24"/>
          <w:szCs w:val="24"/>
          <w:lang w:val="en-US"/>
        </w:rPr>
        <w:t xml:space="preserve"> cover the default of</w:t>
      </w:r>
      <w:r>
        <w:rPr>
          <w:rFonts w:ascii="Times New Roman" w:eastAsia="Calibri" w:hAnsi="Times New Roman" w:cs="Times New Roman"/>
          <w:sz w:val="24"/>
          <w:szCs w:val="24"/>
          <w:lang w:val="en-US"/>
        </w:rPr>
        <w:t xml:space="preserve"> any</w:t>
      </w:r>
      <w:r w:rsidRPr="0063061C">
        <w:rPr>
          <w:rFonts w:ascii="Times New Roman" w:eastAsia="Calibri" w:hAnsi="Times New Roman" w:cs="Times New Roman"/>
          <w:sz w:val="24"/>
          <w:szCs w:val="24"/>
          <w:lang w:val="en-US"/>
        </w:rPr>
        <w:t xml:space="preserve"> 2 or 3 clearing members with the largest exposures, which exceeds the requirements of the international recommendations. </w:t>
      </w:r>
    </w:p>
    <w:p w:rsidR="00D55472" w:rsidRPr="0063061C" w:rsidRDefault="00D55472" w:rsidP="00D55472">
      <w:pPr>
        <w:spacing w:after="120" w:line="240" w:lineRule="auto"/>
        <w:ind w:firstLine="567"/>
        <w:jc w:val="both"/>
        <w:rPr>
          <w:rFonts w:ascii="Times New Roman" w:eastAsia="Times New Roman" w:hAnsi="Times New Roman" w:cs="Times New Roman"/>
          <w:iCs/>
          <w:sz w:val="24"/>
          <w:szCs w:val="24"/>
          <w:lang w:val="en-US"/>
        </w:rPr>
      </w:pPr>
      <w:r w:rsidRPr="0063061C">
        <w:rPr>
          <w:rFonts w:ascii="Times New Roman" w:hAnsi="Times New Roman" w:cs="Times New Roman"/>
          <w:sz w:val="24"/>
          <w:szCs w:val="24"/>
          <w:lang w:val="en-US"/>
        </w:rPr>
        <w:t xml:space="preserve">In order to cover the risks on </w:t>
      </w:r>
      <w:r>
        <w:rPr>
          <w:rFonts w:ascii="Times New Roman" w:hAnsi="Times New Roman" w:cs="Times New Roman"/>
          <w:sz w:val="24"/>
          <w:szCs w:val="24"/>
          <w:lang w:val="en-US"/>
        </w:rPr>
        <w:t>the FX</w:t>
      </w:r>
      <w:r w:rsidRPr="0063061C">
        <w:rPr>
          <w:rFonts w:ascii="Times New Roman" w:hAnsi="Times New Roman" w:cs="Times New Roman"/>
          <w:sz w:val="24"/>
          <w:szCs w:val="24"/>
          <w:lang w:val="en-US"/>
        </w:rPr>
        <w:t xml:space="preserve"> and precious metals markets, the </w:t>
      </w:r>
      <w:r w:rsidRPr="0063061C">
        <w:rPr>
          <w:rFonts w:ascii="Times New Roman" w:eastAsia="Calibri" w:hAnsi="Times New Roman" w:cs="Times New Roman"/>
          <w:sz w:val="24"/>
          <w:szCs w:val="24"/>
          <w:lang w:val="en-US"/>
        </w:rPr>
        <w:t xml:space="preserve">Risk Covering </w:t>
      </w:r>
      <w:proofErr w:type="gramStart"/>
      <w:r w:rsidRPr="0063061C">
        <w:rPr>
          <w:rFonts w:ascii="Times New Roman" w:eastAsia="Calibri" w:hAnsi="Times New Roman" w:cs="Times New Roman"/>
          <w:sz w:val="24"/>
          <w:szCs w:val="24"/>
          <w:lang w:val="en-US"/>
        </w:rPr>
        <w:t xml:space="preserve">Fund </w:t>
      </w:r>
      <w:r w:rsidRPr="0063061C">
        <w:rPr>
          <w:rFonts w:ascii="Times New Roman" w:hAnsi="Times New Roman" w:cs="Times New Roman"/>
          <w:sz w:val="24"/>
          <w:szCs w:val="24"/>
          <w:lang w:val="en-US"/>
        </w:rPr>
        <w:t xml:space="preserve"> was</w:t>
      </w:r>
      <w:proofErr w:type="gramEnd"/>
      <w:r w:rsidRPr="0063061C">
        <w:rPr>
          <w:rFonts w:ascii="Times New Roman" w:hAnsi="Times New Roman" w:cs="Times New Roman"/>
          <w:sz w:val="24"/>
          <w:szCs w:val="24"/>
          <w:lang w:val="en-US"/>
        </w:rPr>
        <w:t xml:space="preserve"> established. </w:t>
      </w:r>
      <w:r w:rsidRPr="0063061C">
        <w:rPr>
          <w:rFonts w:ascii="Times New Roman" w:eastAsia="Calibri" w:hAnsi="Times New Roman" w:cs="Times New Roman"/>
          <w:sz w:val="24"/>
          <w:szCs w:val="24"/>
          <w:lang w:val="en-US"/>
        </w:rPr>
        <w:t>The contribution amount for each member is 80 thousand US dollars</w:t>
      </w:r>
      <w:r w:rsidRPr="0063061C">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63061C">
        <w:rPr>
          <w:rFonts w:ascii="Times New Roman" w:hAnsi="Times New Roman" w:cs="Times New Roman"/>
          <w:sz w:val="24"/>
          <w:szCs w:val="24"/>
          <w:lang w:val="en-US"/>
        </w:rPr>
        <w:t>s of the 1</w:t>
      </w:r>
      <w:r w:rsidRPr="0063061C">
        <w:rPr>
          <w:rFonts w:ascii="Times New Roman" w:hAnsi="Times New Roman" w:cs="Times New Roman"/>
          <w:sz w:val="24"/>
          <w:szCs w:val="24"/>
          <w:vertAlign w:val="superscript"/>
          <w:lang w:val="en-US"/>
        </w:rPr>
        <w:t>st</w:t>
      </w:r>
      <w:r w:rsidRPr="0063061C">
        <w:rPr>
          <w:rFonts w:ascii="Times New Roman" w:hAnsi="Times New Roman" w:cs="Times New Roman"/>
          <w:sz w:val="24"/>
          <w:szCs w:val="24"/>
          <w:lang w:val="en-US"/>
        </w:rPr>
        <w:t xml:space="preserve"> of January, 2014</w:t>
      </w:r>
      <w:r>
        <w:rPr>
          <w:rFonts w:ascii="Times New Roman" w:hAnsi="Times New Roman" w:cs="Times New Roman"/>
          <w:sz w:val="24"/>
          <w:szCs w:val="24"/>
          <w:lang w:val="en-US"/>
        </w:rPr>
        <w:t>, t</w:t>
      </w:r>
      <w:r w:rsidRPr="0063061C">
        <w:rPr>
          <w:rFonts w:ascii="Times New Roman" w:hAnsi="Times New Roman" w:cs="Times New Roman"/>
          <w:sz w:val="24"/>
          <w:szCs w:val="24"/>
          <w:lang w:val="en-US"/>
        </w:rPr>
        <w:t xml:space="preserve">he Default fund </w:t>
      </w:r>
      <w:r>
        <w:rPr>
          <w:rFonts w:ascii="Times New Roman" w:hAnsi="Times New Roman" w:cs="Times New Roman"/>
          <w:sz w:val="24"/>
          <w:szCs w:val="24"/>
          <w:lang w:val="en-US"/>
        </w:rPr>
        <w:t xml:space="preserve">amounted to </w:t>
      </w:r>
      <w:r w:rsidRPr="0063061C">
        <w:rPr>
          <w:rFonts w:ascii="Times New Roman" w:hAnsi="Times New Roman" w:cs="Times New Roman"/>
          <w:sz w:val="24"/>
          <w:szCs w:val="24"/>
          <w:lang w:val="en-US"/>
        </w:rPr>
        <w:t xml:space="preserve">18.72 million </w:t>
      </w:r>
      <w:r w:rsidRPr="0063061C">
        <w:rPr>
          <w:rFonts w:ascii="Times New Roman" w:eastAsia="Calibri" w:hAnsi="Times New Roman" w:cs="Times New Roman"/>
          <w:sz w:val="24"/>
          <w:szCs w:val="24"/>
          <w:lang w:val="en-US"/>
        </w:rPr>
        <w:t>US dollars</w:t>
      </w:r>
      <w:r w:rsidRPr="0063061C">
        <w:rPr>
          <w:rFonts w:ascii="Times New Roman" w:hAnsi="Times New Roman" w:cs="Times New Roman"/>
          <w:sz w:val="24"/>
          <w:szCs w:val="24"/>
          <w:lang w:val="en-US"/>
        </w:rPr>
        <w:t>.</w:t>
      </w:r>
    </w:p>
    <w:p w:rsidR="00D55472" w:rsidRPr="0063061C" w:rsidRDefault="00D55472" w:rsidP="00D55472">
      <w:pPr>
        <w:spacing w:after="120" w:line="240" w:lineRule="auto"/>
        <w:ind w:firstLine="567"/>
        <w:jc w:val="both"/>
        <w:rPr>
          <w:rFonts w:ascii="Times New Roman" w:eastAsia="Times New Roman" w:hAnsi="Times New Roman" w:cs="Times New Roman"/>
          <w:sz w:val="24"/>
          <w:szCs w:val="24"/>
          <w:lang w:val="en-US"/>
        </w:rPr>
      </w:pPr>
      <w:r w:rsidRPr="0063061C">
        <w:rPr>
          <w:rFonts w:ascii="Times New Roman" w:eastAsia="Calibri" w:hAnsi="Times New Roman" w:cs="Times New Roman"/>
          <w:sz w:val="24"/>
          <w:szCs w:val="24"/>
          <w:lang w:val="en-US"/>
        </w:rPr>
        <w:t xml:space="preserve">The participation in the Risk Covering Fund is optional. The contribution to the Risk Covering Fund allows </w:t>
      </w:r>
      <w:r>
        <w:rPr>
          <w:rFonts w:ascii="Times New Roman" w:eastAsia="Calibri" w:hAnsi="Times New Roman" w:cs="Times New Roman"/>
          <w:sz w:val="24"/>
          <w:szCs w:val="24"/>
          <w:lang w:val="en-US"/>
        </w:rPr>
        <w:t>c</w:t>
      </w:r>
      <w:r w:rsidRPr="0063061C">
        <w:rPr>
          <w:rFonts w:ascii="Times New Roman" w:eastAsia="Calibri" w:hAnsi="Times New Roman" w:cs="Times New Roman"/>
          <w:sz w:val="24"/>
          <w:szCs w:val="24"/>
          <w:lang w:val="en-US"/>
        </w:rPr>
        <w:t xml:space="preserve">learing </w:t>
      </w:r>
      <w:r>
        <w:rPr>
          <w:rFonts w:ascii="Times New Roman" w:eastAsia="Calibri" w:hAnsi="Times New Roman" w:cs="Times New Roman"/>
          <w:sz w:val="24"/>
          <w:szCs w:val="24"/>
          <w:lang w:val="en-US"/>
        </w:rPr>
        <w:t>m</w:t>
      </w:r>
      <w:r w:rsidRPr="0063061C">
        <w:rPr>
          <w:rFonts w:ascii="Times New Roman" w:eastAsia="Calibri" w:hAnsi="Times New Roman" w:cs="Times New Roman"/>
          <w:sz w:val="24"/>
          <w:szCs w:val="24"/>
          <w:lang w:val="en-US"/>
        </w:rPr>
        <w:t>ember</w:t>
      </w:r>
      <w:r>
        <w:rPr>
          <w:rFonts w:ascii="Times New Roman" w:eastAsia="Calibri" w:hAnsi="Times New Roman" w:cs="Times New Roman"/>
          <w:sz w:val="24"/>
          <w:szCs w:val="24"/>
          <w:lang w:val="en-US"/>
        </w:rPr>
        <w:t>s</w:t>
      </w:r>
      <w:r w:rsidRPr="0063061C">
        <w:rPr>
          <w:rFonts w:ascii="Times New Roman" w:eastAsia="Calibri" w:hAnsi="Times New Roman" w:cs="Times New Roman"/>
          <w:sz w:val="24"/>
          <w:szCs w:val="24"/>
          <w:lang w:val="en-US"/>
        </w:rPr>
        <w:t xml:space="preserve"> to increase the </w:t>
      </w:r>
      <w:r>
        <w:rPr>
          <w:rFonts w:ascii="Times New Roman" w:eastAsia="Calibri" w:hAnsi="Times New Roman" w:cs="Times New Roman"/>
          <w:sz w:val="24"/>
          <w:szCs w:val="24"/>
          <w:lang w:val="en-US"/>
        </w:rPr>
        <w:t>s</w:t>
      </w:r>
      <w:r w:rsidRPr="0063061C">
        <w:rPr>
          <w:rFonts w:ascii="Times New Roman" w:eastAsia="Calibri" w:hAnsi="Times New Roman" w:cs="Times New Roman"/>
          <w:sz w:val="24"/>
          <w:szCs w:val="24"/>
          <w:lang w:val="en-US"/>
        </w:rPr>
        <w:t xml:space="preserve">ingle limit without </w:t>
      </w:r>
      <w:r>
        <w:rPr>
          <w:rFonts w:ascii="Times New Roman" w:eastAsia="Calibri" w:hAnsi="Times New Roman" w:cs="Times New Roman"/>
          <w:sz w:val="24"/>
          <w:szCs w:val="24"/>
          <w:lang w:val="en-US"/>
        </w:rPr>
        <w:t>depositing additional collateral</w:t>
      </w:r>
      <w:r w:rsidRPr="0063061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The Fund participants’ limits were revised on a quarterly basis</w:t>
      </w:r>
      <w:r w:rsidRPr="0063061C">
        <w:rPr>
          <w:rFonts w:ascii="Times New Roman" w:eastAsia="Calibri" w:hAnsi="Times New Roman" w:cs="Times New Roman"/>
          <w:sz w:val="24"/>
          <w:szCs w:val="24"/>
          <w:lang w:val="en-US"/>
        </w:rPr>
        <w:t xml:space="preserve">. </w:t>
      </w:r>
    </w:p>
    <w:p w:rsidR="00D55472" w:rsidRPr="0063061C" w:rsidRDefault="00D55472" w:rsidP="00D55472">
      <w:pPr>
        <w:spacing w:after="120" w:line="240" w:lineRule="auto"/>
        <w:ind w:firstLine="567"/>
        <w:jc w:val="both"/>
        <w:rPr>
          <w:rFonts w:ascii="Times New Roman" w:eastAsia="Calibri" w:hAnsi="Times New Roman" w:cs="Times New Roman"/>
          <w:sz w:val="24"/>
          <w:szCs w:val="24"/>
          <w:lang w:val="en-US"/>
        </w:rPr>
      </w:pPr>
      <w:r w:rsidRPr="0063061C">
        <w:rPr>
          <w:rFonts w:ascii="Times New Roman" w:eastAsia="Calibri" w:hAnsi="Times New Roman" w:cs="Times New Roman"/>
          <w:sz w:val="24"/>
          <w:szCs w:val="24"/>
          <w:lang w:val="en-US"/>
        </w:rPr>
        <w:t>The</w:t>
      </w:r>
      <w:r>
        <w:rPr>
          <w:rFonts w:ascii="Times New Roman" w:eastAsia="Calibri" w:hAnsi="Times New Roman" w:cs="Times New Roman"/>
          <w:sz w:val="24"/>
          <w:szCs w:val="24"/>
          <w:lang w:val="en-US"/>
        </w:rPr>
        <w:t xml:space="preserve"> FX and precious metals</w:t>
      </w:r>
      <w:r w:rsidRPr="0063061C">
        <w:rPr>
          <w:rFonts w:ascii="Times New Roman" w:eastAsia="Calibri" w:hAnsi="Times New Roman" w:cs="Times New Roman"/>
          <w:sz w:val="24"/>
          <w:szCs w:val="24"/>
          <w:lang w:val="en-US"/>
        </w:rPr>
        <w:t xml:space="preserve"> Risk Covering Fund</w:t>
      </w:r>
      <w:r>
        <w:rPr>
          <w:rFonts w:ascii="Times New Roman" w:eastAsia="Calibri" w:hAnsi="Times New Roman" w:cs="Times New Roman"/>
          <w:sz w:val="24"/>
          <w:szCs w:val="24"/>
          <w:lang w:val="en-US"/>
        </w:rPr>
        <w:t xml:space="preserve"> makes it possible for</w:t>
      </w:r>
      <w:r w:rsidRPr="0063061C">
        <w:rPr>
          <w:rFonts w:ascii="Times New Roman" w:eastAsia="Calibri" w:hAnsi="Times New Roman" w:cs="Times New Roman"/>
          <w:sz w:val="24"/>
          <w:szCs w:val="24"/>
          <w:lang w:val="en-US"/>
        </w:rPr>
        <w:t xml:space="preserve"> its members to reduce </w:t>
      </w:r>
      <w:r>
        <w:rPr>
          <w:rFonts w:ascii="Times New Roman" w:eastAsia="Calibri" w:hAnsi="Times New Roman" w:cs="Times New Roman"/>
          <w:sz w:val="24"/>
          <w:szCs w:val="24"/>
          <w:lang w:val="en-US"/>
        </w:rPr>
        <w:t xml:space="preserve">their </w:t>
      </w:r>
      <w:r w:rsidRPr="0063061C">
        <w:rPr>
          <w:rFonts w:ascii="Times New Roman" w:eastAsia="Calibri" w:hAnsi="Times New Roman" w:cs="Times New Roman"/>
          <w:sz w:val="24"/>
          <w:szCs w:val="24"/>
          <w:lang w:val="en-US"/>
        </w:rPr>
        <w:t xml:space="preserve">margin </w:t>
      </w:r>
      <w:r>
        <w:rPr>
          <w:rFonts w:ascii="Times New Roman" w:eastAsia="Calibri" w:hAnsi="Times New Roman" w:cs="Times New Roman"/>
          <w:sz w:val="24"/>
          <w:szCs w:val="24"/>
          <w:lang w:val="en-US"/>
        </w:rPr>
        <w:t>requirements</w:t>
      </w:r>
      <w:r w:rsidRPr="0063061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for</w:t>
      </w:r>
      <w:r w:rsidRPr="0063061C">
        <w:rPr>
          <w:rFonts w:ascii="Times New Roman" w:eastAsia="Calibri" w:hAnsi="Times New Roman" w:cs="Times New Roman"/>
          <w:sz w:val="24"/>
          <w:szCs w:val="24"/>
          <w:lang w:val="en-US"/>
        </w:rPr>
        <w:t xml:space="preserve"> trades within the</w:t>
      </w:r>
      <w:r>
        <w:rPr>
          <w:rFonts w:ascii="Times New Roman" w:eastAsia="Calibri" w:hAnsi="Times New Roman" w:cs="Times New Roman"/>
          <w:sz w:val="24"/>
          <w:szCs w:val="24"/>
          <w:lang w:val="en-US"/>
        </w:rPr>
        <w:t>ir stated</w:t>
      </w:r>
      <w:r w:rsidRPr="0063061C">
        <w:rPr>
          <w:rFonts w:ascii="Times New Roman" w:eastAsia="Calibri" w:hAnsi="Times New Roman" w:cs="Times New Roman"/>
          <w:sz w:val="24"/>
          <w:szCs w:val="24"/>
          <w:lang w:val="en-US"/>
        </w:rPr>
        <w:t xml:space="preserve"> limits</w:t>
      </w:r>
      <w:r>
        <w:rPr>
          <w:rFonts w:ascii="Times New Roman" w:eastAsia="Calibri" w:hAnsi="Times New Roman" w:cs="Times New Roman"/>
          <w:sz w:val="24"/>
          <w:szCs w:val="24"/>
          <w:lang w:val="en-US"/>
        </w:rPr>
        <w:t xml:space="preserve"> covered</w:t>
      </w:r>
      <w:r w:rsidRPr="0063061C">
        <w:rPr>
          <w:rFonts w:ascii="Times New Roman" w:eastAsia="Calibri" w:hAnsi="Times New Roman" w:cs="Times New Roman"/>
          <w:sz w:val="24"/>
          <w:szCs w:val="24"/>
          <w:lang w:val="en-US"/>
        </w:rPr>
        <w:t xml:space="preserve"> by the Fund.</w:t>
      </w:r>
      <w:r w:rsidRPr="0063061C">
        <w:rPr>
          <w:rFonts w:ascii="Times New Roman" w:hAnsi="Times New Roman" w:cs="Times New Roman"/>
          <w:sz w:val="24"/>
          <w:szCs w:val="24"/>
          <w:lang w:val="en-US"/>
        </w:rPr>
        <w:t xml:space="preserve"> </w:t>
      </w:r>
      <w:r w:rsidRPr="0063061C">
        <w:rPr>
          <w:rFonts w:ascii="Times New Roman" w:eastAsia="Calibri" w:hAnsi="Times New Roman" w:cs="Times New Roman"/>
          <w:sz w:val="24"/>
          <w:szCs w:val="24"/>
          <w:lang w:val="en-US"/>
        </w:rPr>
        <w:t xml:space="preserve">At the same time, NCC </w:t>
      </w:r>
      <w:r>
        <w:rPr>
          <w:rFonts w:ascii="Times New Roman" w:eastAsia="Calibri" w:hAnsi="Times New Roman" w:cs="Times New Roman"/>
          <w:sz w:val="24"/>
          <w:szCs w:val="24"/>
          <w:lang w:val="en-US"/>
        </w:rPr>
        <w:t>assumes</w:t>
      </w:r>
      <w:r w:rsidRPr="0063061C">
        <w:rPr>
          <w:rFonts w:ascii="Times New Roman" w:eastAsia="Calibri" w:hAnsi="Times New Roman" w:cs="Times New Roman"/>
          <w:sz w:val="24"/>
          <w:szCs w:val="24"/>
          <w:lang w:val="en-US"/>
        </w:rPr>
        <w:t xml:space="preserve"> risks </w:t>
      </w:r>
      <w:r>
        <w:rPr>
          <w:rFonts w:ascii="Times New Roman" w:eastAsia="Calibri" w:hAnsi="Times New Roman" w:cs="Times New Roman"/>
          <w:sz w:val="24"/>
          <w:szCs w:val="24"/>
          <w:lang w:val="en-US"/>
        </w:rPr>
        <w:t>associated</w:t>
      </w:r>
      <w:r w:rsidRPr="0063061C">
        <w:rPr>
          <w:rFonts w:ascii="Times New Roman" w:eastAsia="Calibri" w:hAnsi="Times New Roman" w:cs="Times New Roman"/>
          <w:sz w:val="24"/>
          <w:szCs w:val="24"/>
          <w:lang w:val="en-US"/>
        </w:rPr>
        <w:t xml:space="preserve"> with </w:t>
      </w:r>
      <w:r>
        <w:rPr>
          <w:rFonts w:ascii="Times New Roman" w:eastAsia="Calibri" w:hAnsi="Times New Roman" w:cs="Times New Roman"/>
          <w:sz w:val="24"/>
          <w:szCs w:val="24"/>
          <w:lang w:val="en-US"/>
        </w:rPr>
        <w:t>possible</w:t>
      </w:r>
      <w:r w:rsidRPr="0063061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inadequate FX</w:t>
      </w:r>
      <w:r w:rsidRPr="0063061C">
        <w:rPr>
          <w:rFonts w:ascii="Times New Roman" w:eastAsia="Calibri" w:hAnsi="Times New Roman" w:cs="Times New Roman"/>
          <w:sz w:val="24"/>
          <w:szCs w:val="24"/>
          <w:lang w:val="en-US"/>
        </w:rPr>
        <w:t xml:space="preserve"> risk coverage in case of mass defaults. </w:t>
      </w:r>
    </w:p>
    <w:p w:rsidR="00D55472" w:rsidRPr="0063061C" w:rsidRDefault="00D55472" w:rsidP="00D55472">
      <w:pPr>
        <w:spacing w:after="120" w:line="240" w:lineRule="auto"/>
        <w:ind w:firstLine="567"/>
        <w:jc w:val="both"/>
        <w:rPr>
          <w:rFonts w:ascii="Times New Roman" w:hAnsi="Times New Roman" w:cs="Times New Roman"/>
          <w:sz w:val="24"/>
          <w:szCs w:val="24"/>
          <w:lang w:val="en-US"/>
        </w:rPr>
      </w:pPr>
      <w:r w:rsidRPr="0063061C">
        <w:rPr>
          <w:rFonts w:ascii="Times New Roman" w:eastAsia="Calibri" w:hAnsi="Times New Roman" w:cs="Times New Roman"/>
          <w:sz w:val="24"/>
          <w:szCs w:val="24"/>
          <w:lang w:val="en-US"/>
        </w:rPr>
        <w:t xml:space="preserve">In order to provide additional </w:t>
      </w:r>
      <w:r>
        <w:rPr>
          <w:rFonts w:ascii="Times New Roman" w:eastAsia="Calibri" w:hAnsi="Times New Roman" w:cs="Times New Roman"/>
          <w:sz w:val="24"/>
          <w:szCs w:val="24"/>
          <w:lang w:val="en-US"/>
        </w:rPr>
        <w:t>defense for</w:t>
      </w:r>
      <w:r w:rsidRPr="0063061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fair</w:t>
      </w:r>
      <w:r w:rsidRPr="0063061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c</w:t>
      </w:r>
      <w:r w:rsidRPr="0063061C">
        <w:rPr>
          <w:rFonts w:ascii="Times New Roman" w:eastAsia="Calibri" w:hAnsi="Times New Roman" w:cs="Times New Roman"/>
          <w:sz w:val="24"/>
          <w:szCs w:val="24"/>
          <w:lang w:val="en-US"/>
        </w:rPr>
        <w:t xml:space="preserve">learing </w:t>
      </w:r>
      <w:r>
        <w:rPr>
          <w:rFonts w:ascii="Times New Roman" w:eastAsia="Calibri" w:hAnsi="Times New Roman" w:cs="Times New Roman"/>
          <w:sz w:val="24"/>
          <w:szCs w:val="24"/>
          <w:lang w:val="en-US"/>
        </w:rPr>
        <w:t>m</w:t>
      </w:r>
      <w:r w:rsidRPr="0063061C">
        <w:rPr>
          <w:rFonts w:ascii="Times New Roman" w:eastAsia="Calibri" w:hAnsi="Times New Roman" w:cs="Times New Roman"/>
          <w:sz w:val="24"/>
          <w:szCs w:val="24"/>
          <w:lang w:val="en-US"/>
        </w:rPr>
        <w:t>embers,</w:t>
      </w:r>
      <w:r w:rsidRPr="0063061C">
        <w:rPr>
          <w:rFonts w:ascii="Times New Roman" w:hAnsi="Times New Roman" w:cs="Times New Roman"/>
          <w:sz w:val="24"/>
          <w:szCs w:val="24"/>
          <w:lang w:val="en-US"/>
        </w:rPr>
        <w:t xml:space="preserve"> </w:t>
      </w:r>
      <w:r>
        <w:rPr>
          <w:rFonts w:ascii="Times New Roman" w:eastAsia="Calibri" w:hAnsi="Times New Roman" w:cs="Times New Roman"/>
          <w:sz w:val="24"/>
          <w:szCs w:val="24"/>
          <w:lang w:val="en-US"/>
        </w:rPr>
        <w:t xml:space="preserve">their </w:t>
      </w:r>
      <w:r w:rsidRPr="0063061C">
        <w:rPr>
          <w:rFonts w:ascii="Times New Roman" w:eastAsia="Calibri" w:hAnsi="Times New Roman" w:cs="Times New Roman"/>
          <w:sz w:val="24"/>
          <w:szCs w:val="24"/>
          <w:lang w:val="en-US"/>
        </w:rPr>
        <w:t xml:space="preserve">contributions </w:t>
      </w:r>
      <w:r>
        <w:rPr>
          <w:rFonts w:ascii="Times New Roman" w:eastAsia="Calibri" w:hAnsi="Times New Roman" w:cs="Times New Roman"/>
          <w:sz w:val="24"/>
          <w:szCs w:val="24"/>
          <w:lang w:val="en-US"/>
        </w:rPr>
        <w:t>to</w:t>
      </w:r>
      <w:r w:rsidRPr="0063061C">
        <w:rPr>
          <w:rFonts w:ascii="Times New Roman" w:hAnsi="Times New Roman" w:cs="Times New Roman"/>
          <w:sz w:val="24"/>
          <w:szCs w:val="24"/>
          <w:lang w:val="en-US"/>
        </w:rPr>
        <w:t xml:space="preserve"> the </w:t>
      </w:r>
      <w:r w:rsidRPr="0063061C">
        <w:rPr>
          <w:rFonts w:ascii="Times New Roman" w:eastAsia="Calibri" w:hAnsi="Times New Roman" w:cs="Times New Roman"/>
          <w:sz w:val="24"/>
          <w:szCs w:val="24"/>
          <w:lang w:val="en-US"/>
        </w:rPr>
        <w:t>Risk Covering</w:t>
      </w:r>
      <w:r w:rsidRPr="0063061C">
        <w:rPr>
          <w:rFonts w:ascii="Times New Roman" w:hAnsi="Times New Roman" w:cs="Times New Roman"/>
          <w:sz w:val="24"/>
          <w:szCs w:val="24"/>
          <w:lang w:val="en-US"/>
        </w:rPr>
        <w:t xml:space="preserve"> Fund </w:t>
      </w:r>
      <w:r>
        <w:rPr>
          <w:rFonts w:ascii="Times New Roman" w:hAnsi="Times New Roman" w:cs="Times New Roman"/>
          <w:sz w:val="24"/>
          <w:szCs w:val="24"/>
          <w:lang w:val="en-US"/>
        </w:rPr>
        <w:t xml:space="preserve">are </w:t>
      </w:r>
      <w:r w:rsidRPr="0063061C">
        <w:rPr>
          <w:rFonts w:ascii="Times New Roman" w:hAnsi="Times New Roman" w:cs="Times New Roman"/>
          <w:sz w:val="24"/>
          <w:szCs w:val="24"/>
          <w:lang w:val="en-US"/>
        </w:rPr>
        <w:t xml:space="preserve">only </w:t>
      </w:r>
      <w:r>
        <w:rPr>
          <w:rFonts w:ascii="Times New Roman" w:hAnsi="Times New Roman" w:cs="Times New Roman"/>
          <w:sz w:val="24"/>
          <w:szCs w:val="24"/>
          <w:lang w:val="en-US"/>
        </w:rPr>
        <w:t>used</w:t>
      </w:r>
      <w:r w:rsidRPr="0063061C">
        <w:rPr>
          <w:rFonts w:ascii="Times New Roman" w:hAnsi="Times New Roman" w:cs="Times New Roman"/>
          <w:sz w:val="24"/>
          <w:szCs w:val="24"/>
          <w:lang w:val="en-US"/>
        </w:rPr>
        <w:t xml:space="preserve"> in cases when the total debt </w:t>
      </w:r>
      <w:r w:rsidRPr="0063061C">
        <w:rPr>
          <w:rFonts w:ascii="Times New Roman" w:eastAsia="Calibri" w:hAnsi="Times New Roman" w:cs="Times New Roman"/>
          <w:sz w:val="24"/>
          <w:szCs w:val="24"/>
          <w:lang w:val="en-US"/>
        </w:rPr>
        <w:t xml:space="preserve">of </w:t>
      </w:r>
      <w:r>
        <w:rPr>
          <w:rFonts w:ascii="Times New Roman" w:eastAsia="Calibri" w:hAnsi="Times New Roman" w:cs="Times New Roman"/>
          <w:sz w:val="24"/>
          <w:szCs w:val="24"/>
          <w:lang w:val="en-US"/>
        </w:rPr>
        <w:t>d</w:t>
      </w:r>
      <w:r w:rsidRPr="0063061C">
        <w:rPr>
          <w:rFonts w:ascii="Times New Roman" w:eastAsia="Calibri" w:hAnsi="Times New Roman" w:cs="Times New Roman"/>
          <w:sz w:val="24"/>
          <w:szCs w:val="24"/>
          <w:lang w:val="en-US"/>
        </w:rPr>
        <w:t xml:space="preserve">efaulting </w:t>
      </w:r>
      <w:r>
        <w:rPr>
          <w:rFonts w:ascii="Times New Roman" w:eastAsia="Calibri" w:hAnsi="Times New Roman" w:cs="Times New Roman"/>
          <w:sz w:val="24"/>
          <w:szCs w:val="24"/>
          <w:lang w:val="en-US"/>
        </w:rPr>
        <w:t>c</w:t>
      </w:r>
      <w:r w:rsidRPr="0063061C">
        <w:rPr>
          <w:rFonts w:ascii="Times New Roman" w:eastAsia="Calibri" w:hAnsi="Times New Roman" w:cs="Times New Roman"/>
          <w:sz w:val="24"/>
          <w:szCs w:val="24"/>
          <w:lang w:val="en-US"/>
        </w:rPr>
        <w:t xml:space="preserve">learing </w:t>
      </w:r>
      <w:r>
        <w:rPr>
          <w:rFonts w:ascii="Times New Roman" w:eastAsia="Calibri" w:hAnsi="Times New Roman" w:cs="Times New Roman"/>
          <w:sz w:val="24"/>
          <w:szCs w:val="24"/>
          <w:lang w:val="en-US"/>
        </w:rPr>
        <w:t>m</w:t>
      </w:r>
      <w:r w:rsidRPr="0063061C">
        <w:rPr>
          <w:rFonts w:ascii="Times New Roman" w:eastAsia="Calibri" w:hAnsi="Times New Roman" w:cs="Times New Roman"/>
          <w:sz w:val="24"/>
          <w:szCs w:val="24"/>
          <w:lang w:val="en-US"/>
        </w:rPr>
        <w:t xml:space="preserve">ember to NCC exceeds the maximum </w:t>
      </w:r>
      <w:r>
        <w:rPr>
          <w:rFonts w:ascii="Times New Roman" w:eastAsia="Calibri" w:hAnsi="Times New Roman" w:cs="Times New Roman"/>
          <w:sz w:val="24"/>
          <w:szCs w:val="24"/>
          <w:lang w:val="en-US"/>
        </w:rPr>
        <w:t>amount</w:t>
      </w:r>
      <w:r w:rsidRPr="0063061C">
        <w:rPr>
          <w:rFonts w:ascii="Times New Roman" w:eastAsia="Calibri" w:hAnsi="Times New Roman" w:cs="Times New Roman"/>
          <w:sz w:val="24"/>
          <w:szCs w:val="24"/>
          <w:lang w:val="en-US"/>
        </w:rPr>
        <w:t xml:space="preserve"> set by Clearing Rules of foreign exchange and precious metals market</w:t>
      </w:r>
      <w:r>
        <w:rPr>
          <w:rFonts w:ascii="Times New Roman" w:eastAsia="Calibri" w:hAnsi="Times New Roman" w:cs="Times New Roman"/>
          <w:sz w:val="24"/>
          <w:szCs w:val="24"/>
          <w:lang w:val="en-US"/>
        </w:rPr>
        <w:t>, i.e.</w:t>
      </w:r>
      <w:r w:rsidRPr="0063061C">
        <w:rPr>
          <w:rFonts w:ascii="Times New Roman" w:eastAsia="Calibri" w:hAnsi="Times New Roman" w:cs="Times New Roman"/>
          <w:sz w:val="24"/>
          <w:szCs w:val="24"/>
          <w:lang w:val="en-US"/>
        </w:rPr>
        <w:t xml:space="preserve"> 18 million US dollars. </w:t>
      </w:r>
    </w:p>
    <w:p w:rsidR="00D55472" w:rsidRPr="0063061C" w:rsidRDefault="00D55472" w:rsidP="00D55472">
      <w:pPr>
        <w:spacing w:after="12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To cover risks assumed by NCC a</w:t>
      </w:r>
      <w:r w:rsidRPr="0063061C">
        <w:rPr>
          <w:rFonts w:ascii="Times New Roman" w:hAnsi="Times New Roman" w:cs="Times New Roman"/>
          <w:sz w:val="24"/>
          <w:szCs w:val="24"/>
          <w:lang w:val="en-US"/>
        </w:rPr>
        <w:t xml:space="preserve"> Guarantee Fund </w:t>
      </w:r>
      <w:r>
        <w:rPr>
          <w:rFonts w:ascii="Times New Roman" w:hAnsi="Times New Roman" w:cs="Times New Roman"/>
          <w:sz w:val="24"/>
          <w:szCs w:val="24"/>
          <w:lang w:val="en-US"/>
        </w:rPr>
        <w:t xml:space="preserve">on the derivatives market with contributions </w:t>
      </w:r>
      <w:r w:rsidRPr="00FE3960">
        <w:rPr>
          <w:rFonts w:ascii="Times New Roman" w:hAnsi="Times New Roman" w:cs="Times New Roman"/>
          <w:sz w:val="24"/>
          <w:szCs w:val="24"/>
          <w:lang w:val="en-US"/>
        </w:rPr>
        <w:t xml:space="preserve">from </w:t>
      </w:r>
      <w:r>
        <w:rPr>
          <w:rFonts w:ascii="Times New Roman" w:hAnsi="Times New Roman" w:cs="Times New Roman"/>
          <w:sz w:val="24"/>
          <w:szCs w:val="24"/>
          <w:lang w:val="en-US"/>
        </w:rPr>
        <w:t xml:space="preserve">clearing members is formed. </w:t>
      </w:r>
      <w:proofErr w:type="gramStart"/>
      <w:r w:rsidR="003C2241">
        <w:rPr>
          <w:rFonts w:ascii="Times New Roman" w:hAnsi="Times New Roman" w:cs="Times New Roman"/>
          <w:sz w:val="24"/>
          <w:szCs w:val="24"/>
          <w:lang w:val="en-US"/>
        </w:rPr>
        <w:t>C</w:t>
      </w:r>
      <w:r w:rsidRPr="00FE3960">
        <w:rPr>
          <w:rFonts w:ascii="Times New Roman" w:hAnsi="Times New Roman" w:cs="Times New Roman"/>
          <w:sz w:val="24"/>
          <w:szCs w:val="24"/>
          <w:lang w:val="en-US"/>
        </w:rPr>
        <w:t>ontributions</w:t>
      </w:r>
      <w:r w:rsidR="003C224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by</w:t>
      </w:r>
      <w:proofErr w:type="gramEnd"/>
      <w:r>
        <w:rPr>
          <w:rFonts w:ascii="Times New Roman" w:hAnsi="Times New Roman" w:cs="Times New Roman"/>
          <w:sz w:val="24"/>
          <w:szCs w:val="24"/>
          <w:lang w:val="en-US"/>
        </w:rPr>
        <w:t xml:space="preserve"> fair participants</w:t>
      </w:r>
      <w:r w:rsidRPr="00FE3960">
        <w:rPr>
          <w:rFonts w:ascii="Times New Roman" w:hAnsi="Times New Roman" w:cs="Times New Roman"/>
          <w:sz w:val="24"/>
          <w:szCs w:val="24"/>
          <w:lang w:val="en-US"/>
        </w:rPr>
        <w:t xml:space="preserve"> </w:t>
      </w:r>
      <w:r w:rsidRPr="0063061C">
        <w:rPr>
          <w:rFonts w:ascii="Times New Roman" w:hAnsi="Times New Roman" w:cs="Times New Roman"/>
          <w:sz w:val="24"/>
          <w:szCs w:val="24"/>
          <w:lang w:val="en-US"/>
        </w:rPr>
        <w:t xml:space="preserve">are </w:t>
      </w:r>
      <w:r>
        <w:rPr>
          <w:rFonts w:ascii="Times New Roman" w:hAnsi="Times New Roman" w:cs="Times New Roman"/>
          <w:sz w:val="24"/>
          <w:szCs w:val="24"/>
          <w:lang w:val="en-US"/>
        </w:rPr>
        <w:t>used</w:t>
      </w:r>
      <w:r w:rsidRPr="0063061C">
        <w:rPr>
          <w:rFonts w:ascii="Times New Roman" w:hAnsi="Times New Roman" w:cs="Times New Roman"/>
          <w:sz w:val="24"/>
          <w:szCs w:val="24"/>
          <w:lang w:val="en-US"/>
        </w:rPr>
        <w:t xml:space="preserve"> only in cases </w:t>
      </w:r>
      <w:r>
        <w:rPr>
          <w:rFonts w:ascii="Times New Roman" w:hAnsi="Times New Roman" w:cs="Times New Roman"/>
          <w:sz w:val="24"/>
          <w:szCs w:val="24"/>
          <w:lang w:val="en-US"/>
        </w:rPr>
        <w:t>when</w:t>
      </w:r>
      <w:r w:rsidRPr="0063061C">
        <w:rPr>
          <w:rFonts w:ascii="Times New Roman" w:hAnsi="Times New Roman" w:cs="Times New Roman"/>
          <w:sz w:val="24"/>
          <w:szCs w:val="24"/>
          <w:lang w:val="en-US"/>
        </w:rPr>
        <w:t xml:space="preserve"> the amount of </w:t>
      </w:r>
      <w:r w:rsidR="003C2241">
        <w:rPr>
          <w:rFonts w:ascii="Times New Roman" w:hAnsi="Times New Roman" w:cs="Times New Roman"/>
          <w:sz w:val="24"/>
          <w:szCs w:val="24"/>
          <w:lang w:val="en-US"/>
        </w:rPr>
        <w:t>d</w:t>
      </w:r>
      <w:r w:rsidRPr="0063061C">
        <w:rPr>
          <w:rFonts w:ascii="Times New Roman" w:hAnsi="Times New Roman" w:cs="Times New Roman"/>
          <w:sz w:val="24"/>
          <w:szCs w:val="24"/>
          <w:lang w:val="en-US"/>
        </w:rPr>
        <w:t xml:space="preserve">efaulting </w:t>
      </w:r>
      <w:r w:rsidR="003C2241">
        <w:rPr>
          <w:rFonts w:ascii="Times New Roman" w:hAnsi="Times New Roman" w:cs="Times New Roman"/>
          <w:sz w:val="24"/>
          <w:szCs w:val="24"/>
          <w:lang w:val="en-US"/>
        </w:rPr>
        <w:t>c</w:t>
      </w:r>
      <w:r w:rsidRPr="0063061C">
        <w:rPr>
          <w:rFonts w:ascii="Times New Roman" w:hAnsi="Times New Roman" w:cs="Times New Roman"/>
          <w:sz w:val="24"/>
          <w:szCs w:val="24"/>
          <w:lang w:val="en-US"/>
        </w:rPr>
        <w:t xml:space="preserve">learing </w:t>
      </w:r>
      <w:r w:rsidR="003C2241">
        <w:rPr>
          <w:rFonts w:ascii="Times New Roman" w:hAnsi="Times New Roman" w:cs="Times New Roman"/>
          <w:sz w:val="24"/>
          <w:szCs w:val="24"/>
          <w:lang w:val="en-US"/>
        </w:rPr>
        <w:t>m</w:t>
      </w:r>
      <w:r w:rsidRPr="0063061C">
        <w:rPr>
          <w:rFonts w:ascii="Times New Roman" w:hAnsi="Times New Roman" w:cs="Times New Roman"/>
          <w:sz w:val="24"/>
          <w:szCs w:val="24"/>
          <w:lang w:val="en-US"/>
        </w:rPr>
        <w:t xml:space="preserve">ember’s </w:t>
      </w:r>
      <w:r w:rsidRPr="0063061C">
        <w:rPr>
          <w:rFonts w:ascii="Times New Roman" w:eastAsia="Calibri" w:hAnsi="Times New Roman" w:cs="Times New Roman"/>
          <w:sz w:val="24"/>
          <w:szCs w:val="24"/>
          <w:lang w:val="en-US"/>
        </w:rPr>
        <w:t>debt owed to NCC exceeds</w:t>
      </w:r>
      <w:r w:rsidRPr="0063061C">
        <w:rPr>
          <w:rFonts w:ascii="Times New Roman" w:hAnsi="Times New Roman" w:cs="Times New Roman"/>
          <w:sz w:val="24"/>
          <w:szCs w:val="24"/>
          <w:lang w:val="en-US"/>
        </w:rPr>
        <w:t xml:space="preserve"> 1.5 billion </w:t>
      </w:r>
      <w:proofErr w:type="spellStart"/>
      <w:r w:rsidRPr="0063061C">
        <w:rPr>
          <w:rFonts w:ascii="Times New Roman" w:hAnsi="Times New Roman" w:cs="Times New Roman"/>
          <w:sz w:val="24"/>
          <w:szCs w:val="24"/>
          <w:lang w:val="en-US"/>
        </w:rPr>
        <w:t>roubles</w:t>
      </w:r>
      <w:proofErr w:type="spellEnd"/>
      <w:r w:rsidRPr="0063061C">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contribution </w:t>
      </w:r>
      <w:r w:rsidRPr="0063061C">
        <w:rPr>
          <w:rFonts w:ascii="Times New Roman" w:hAnsi="Times New Roman" w:cs="Times New Roman"/>
          <w:sz w:val="24"/>
          <w:szCs w:val="24"/>
          <w:lang w:val="en-US"/>
        </w:rPr>
        <w:t xml:space="preserve">to the Guarantee Fund depends on the </w:t>
      </w:r>
      <w:r>
        <w:rPr>
          <w:rFonts w:ascii="Times New Roman" w:hAnsi="Times New Roman" w:cs="Times New Roman"/>
          <w:sz w:val="24"/>
          <w:szCs w:val="24"/>
          <w:lang w:val="en-US"/>
        </w:rPr>
        <w:t>risk</w:t>
      </w:r>
      <w:r w:rsidR="003F247E">
        <w:rPr>
          <w:rFonts w:ascii="Times New Roman" w:hAnsi="Times New Roman" w:cs="Times New Roman"/>
          <w:sz w:val="24"/>
          <w:szCs w:val="24"/>
          <w:lang w:val="en-US"/>
        </w:rPr>
        <w:t>’s</w:t>
      </w:r>
      <w:r>
        <w:rPr>
          <w:rFonts w:ascii="Times New Roman" w:hAnsi="Times New Roman" w:cs="Times New Roman"/>
          <w:sz w:val="24"/>
          <w:szCs w:val="24"/>
          <w:lang w:val="en-US"/>
        </w:rPr>
        <w:t xml:space="preserve"> estimates made</w:t>
      </w:r>
      <w:r w:rsidRPr="0063061C">
        <w:rPr>
          <w:rFonts w:ascii="Times New Roman" w:hAnsi="Times New Roman" w:cs="Times New Roman"/>
          <w:sz w:val="24"/>
          <w:szCs w:val="24"/>
          <w:lang w:val="en-US"/>
        </w:rPr>
        <w:t xml:space="preserve"> by NCC in respect to each participant. As of 01.01.2014 the Fund made up 1.2 billion </w:t>
      </w:r>
      <w:proofErr w:type="spellStart"/>
      <w:r w:rsidRPr="0063061C">
        <w:rPr>
          <w:rFonts w:ascii="Times New Roman" w:hAnsi="Times New Roman" w:cs="Times New Roman"/>
          <w:sz w:val="24"/>
          <w:szCs w:val="24"/>
          <w:lang w:val="en-US"/>
        </w:rPr>
        <w:t>roubles</w:t>
      </w:r>
      <w:proofErr w:type="spellEnd"/>
      <w:r w:rsidRPr="0063061C">
        <w:rPr>
          <w:rFonts w:ascii="Times New Roman" w:hAnsi="Times New Roman" w:cs="Times New Roman"/>
          <w:sz w:val="24"/>
          <w:szCs w:val="24"/>
          <w:lang w:val="en-US"/>
        </w:rPr>
        <w:t xml:space="preserve">. </w:t>
      </w:r>
      <w:r>
        <w:rPr>
          <w:rFonts w:ascii="Times New Roman" w:hAnsi="Times New Roman" w:cs="Times New Roman"/>
          <w:sz w:val="24"/>
          <w:szCs w:val="24"/>
          <w:lang w:val="en-US"/>
        </w:rPr>
        <w:t>The existence of</w:t>
      </w:r>
      <w:r w:rsidRPr="0063061C">
        <w:rPr>
          <w:rFonts w:ascii="Times New Roman" w:hAnsi="Times New Roman" w:cs="Times New Roman"/>
          <w:sz w:val="24"/>
          <w:szCs w:val="24"/>
          <w:lang w:val="en-US"/>
        </w:rPr>
        <w:t xml:space="preserve"> Guarantee Fund</w:t>
      </w:r>
      <w:r>
        <w:rPr>
          <w:rFonts w:ascii="Times New Roman" w:hAnsi="Times New Roman" w:cs="Times New Roman"/>
          <w:sz w:val="24"/>
          <w:szCs w:val="24"/>
          <w:lang w:val="en-US"/>
        </w:rPr>
        <w:t xml:space="preserve">, as a supplement to the </w:t>
      </w:r>
      <w:r w:rsidRPr="0063061C">
        <w:rPr>
          <w:rFonts w:ascii="Times New Roman" w:hAnsi="Times New Roman" w:cs="Times New Roman"/>
          <w:sz w:val="24"/>
          <w:szCs w:val="24"/>
          <w:lang w:val="en-US"/>
        </w:rPr>
        <w:t xml:space="preserve">collateral </w:t>
      </w:r>
      <w:r>
        <w:rPr>
          <w:rFonts w:ascii="Times New Roman" w:hAnsi="Times New Roman" w:cs="Times New Roman"/>
          <w:sz w:val="24"/>
          <w:szCs w:val="24"/>
          <w:lang w:val="en-US"/>
        </w:rPr>
        <w:t>posted</w:t>
      </w:r>
      <w:r w:rsidR="00FB2750">
        <w:rPr>
          <w:rFonts w:ascii="Times New Roman" w:hAnsi="Times New Roman" w:cs="Times New Roman"/>
          <w:sz w:val="24"/>
          <w:szCs w:val="24"/>
          <w:lang w:val="en-US"/>
        </w:rPr>
        <w:t>,</w:t>
      </w:r>
      <w:r w:rsidRPr="0063061C">
        <w:rPr>
          <w:rFonts w:ascii="Times New Roman" w:hAnsi="Times New Roman" w:cs="Times New Roman"/>
          <w:sz w:val="24"/>
          <w:szCs w:val="24"/>
          <w:lang w:val="en-US"/>
        </w:rPr>
        <w:t xml:space="preserve"> decreases the </w:t>
      </w:r>
      <w:r>
        <w:rPr>
          <w:rFonts w:ascii="Times New Roman" w:hAnsi="Times New Roman" w:cs="Times New Roman"/>
          <w:sz w:val="24"/>
          <w:szCs w:val="24"/>
          <w:lang w:val="en-US"/>
        </w:rPr>
        <w:t xml:space="preserve">CCP’s </w:t>
      </w:r>
      <w:r w:rsidRPr="0063061C">
        <w:rPr>
          <w:rFonts w:ascii="Times New Roman" w:hAnsi="Times New Roman" w:cs="Times New Roman"/>
          <w:sz w:val="24"/>
          <w:szCs w:val="24"/>
          <w:lang w:val="en-US"/>
        </w:rPr>
        <w:t xml:space="preserve">risks when </w:t>
      </w:r>
      <w:r>
        <w:rPr>
          <w:rFonts w:ascii="Times New Roman" w:hAnsi="Times New Roman" w:cs="Times New Roman"/>
          <w:sz w:val="24"/>
          <w:szCs w:val="24"/>
          <w:lang w:val="en-US"/>
        </w:rPr>
        <w:t xml:space="preserve">a </w:t>
      </w:r>
      <w:r w:rsidRPr="0063061C">
        <w:rPr>
          <w:rFonts w:ascii="Times New Roman" w:hAnsi="Times New Roman" w:cs="Times New Roman"/>
          <w:sz w:val="24"/>
          <w:szCs w:val="24"/>
          <w:lang w:val="en-US"/>
        </w:rPr>
        <w:t>clearing participant fails to fulfill his obligations.</w:t>
      </w:r>
    </w:p>
    <w:p w:rsidR="00D55472" w:rsidRPr="0063061C" w:rsidRDefault="00D55472" w:rsidP="00D55472">
      <w:pPr>
        <w:spacing w:after="120" w:line="240" w:lineRule="auto"/>
        <w:ind w:firstLine="567"/>
        <w:jc w:val="both"/>
        <w:rPr>
          <w:rFonts w:ascii="Times New Roman" w:hAnsi="Times New Roman" w:cs="Times New Roman"/>
          <w:sz w:val="24"/>
          <w:szCs w:val="24"/>
          <w:lang w:val="en-US"/>
        </w:rPr>
      </w:pPr>
      <w:r w:rsidRPr="0063061C">
        <w:rPr>
          <w:rFonts w:ascii="Times New Roman" w:hAnsi="Times New Roman" w:cs="Times New Roman"/>
          <w:sz w:val="24"/>
          <w:szCs w:val="24"/>
          <w:lang w:val="en-US"/>
        </w:rPr>
        <w:t xml:space="preserve">On </w:t>
      </w:r>
      <w:r w:rsidR="003F247E">
        <w:rPr>
          <w:rFonts w:ascii="Times New Roman" w:hAnsi="Times New Roman" w:cs="Times New Roman"/>
          <w:sz w:val="24"/>
          <w:szCs w:val="24"/>
          <w:lang w:val="en-US"/>
        </w:rPr>
        <w:t xml:space="preserve">the </w:t>
      </w:r>
      <w:r w:rsidRPr="0063061C">
        <w:rPr>
          <w:rFonts w:ascii="Times New Roman" w:hAnsi="Times New Roman" w:cs="Times New Roman"/>
          <w:sz w:val="24"/>
          <w:szCs w:val="24"/>
          <w:lang w:val="en-US"/>
        </w:rPr>
        <w:t xml:space="preserve">stock market (including </w:t>
      </w:r>
      <w:r>
        <w:rPr>
          <w:rFonts w:ascii="Times New Roman" w:hAnsi="Times New Roman" w:cs="Times New Roman"/>
          <w:sz w:val="24"/>
          <w:szCs w:val="24"/>
          <w:lang w:val="en-US"/>
        </w:rPr>
        <w:t>REPO</w:t>
      </w:r>
      <w:r w:rsidRPr="0063061C">
        <w:rPr>
          <w:rFonts w:ascii="Times New Roman" w:hAnsi="Times New Roman" w:cs="Times New Roman"/>
          <w:sz w:val="24"/>
          <w:szCs w:val="24"/>
          <w:lang w:val="en-US"/>
        </w:rPr>
        <w:t xml:space="preserve"> with CCP) risks of NCC </w:t>
      </w:r>
      <w:r>
        <w:rPr>
          <w:rFonts w:ascii="Times New Roman" w:hAnsi="Times New Roman" w:cs="Times New Roman"/>
          <w:sz w:val="24"/>
          <w:szCs w:val="24"/>
          <w:lang w:val="en-US"/>
        </w:rPr>
        <w:t xml:space="preserve"> in transactions with </w:t>
      </w:r>
      <w:r w:rsidR="003F247E">
        <w:rPr>
          <w:rFonts w:ascii="Times New Roman" w:hAnsi="Times New Roman" w:cs="Times New Roman"/>
          <w:sz w:val="24"/>
          <w:szCs w:val="24"/>
          <w:lang w:val="en-US"/>
        </w:rPr>
        <w:t xml:space="preserve">the </w:t>
      </w:r>
      <w:r>
        <w:rPr>
          <w:rFonts w:ascii="Times New Roman" w:hAnsi="Times New Roman" w:cs="Times New Roman"/>
          <w:sz w:val="24"/>
          <w:szCs w:val="24"/>
          <w:lang w:val="en-US"/>
        </w:rPr>
        <w:t>partial collateral, involving</w:t>
      </w:r>
      <w:r w:rsidRPr="0063061C">
        <w:rPr>
          <w:rFonts w:ascii="Times New Roman" w:hAnsi="Times New Roman" w:cs="Times New Roman"/>
          <w:sz w:val="24"/>
          <w:szCs w:val="24"/>
          <w:lang w:val="en-US"/>
        </w:rPr>
        <w:t xml:space="preserve"> CCP</w:t>
      </w:r>
      <w:r w:rsidR="003F247E">
        <w:rPr>
          <w:rFonts w:ascii="Times New Roman" w:hAnsi="Times New Roman" w:cs="Times New Roman"/>
          <w:sz w:val="24"/>
          <w:szCs w:val="24"/>
          <w:lang w:val="en-US"/>
        </w:rPr>
        <w:t>,</w:t>
      </w:r>
      <w:r w:rsidRPr="0063061C">
        <w:rPr>
          <w:rFonts w:ascii="Times New Roman" w:hAnsi="Times New Roman" w:cs="Times New Roman"/>
          <w:sz w:val="24"/>
          <w:szCs w:val="24"/>
          <w:lang w:val="en-US"/>
        </w:rPr>
        <w:t xml:space="preserve"> were covered, besides the individual clearing collateral, by CCP’s </w:t>
      </w:r>
      <w:r>
        <w:rPr>
          <w:rFonts w:ascii="Times New Roman" w:hAnsi="Times New Roman" w:cs="Times New Roman"/>
          <w:sz w:val="24"/>
          <w:szCs w:val="24"/>
          <w:lang w:val="en-US"/>
        </w:rPr>
        <w:t>own capital</w:t>
      </w:r>
      <w:r w:rsidRPr="0063061C">
        <w:rPr>
          <w:rFonts w:ascii="Times New Roman" w:hAnsi="Times New Roman" w:cs="Times New Roman"/>
          <w:sz w:val="24"/>
          <w:szCs w:val="24"/>
          <w:lang w:val="en-US"/>
        </w:rPr>
        <w:t xml:space="preserve"> amounting 1 billion </w:t>
      </w:r>
      <w:proofErr w:type="spellStart"/>
      <w:r w:rsidRPr="0063061C">
        <w:rPr>
          <w:rFonts w:ascii="Times New Roman" w:hAnsi="Times New Roman" w:cs="Times New Roman"/>
          <w:sz w:val="24"/>
          <w:szCs w:val="24"/>
          <w:lang w:val="en-US"/>
        </w:rPr>
        <w:t>roubles</w:t>
      </w:r>
      <w:proofErr w:type="spellEnd"/>
      <w:r w:rsidRPr="0063061C">
        <w:rPr>
          <w:rFonts w:ascii="Times New Roman" w:hAnsi="Times New Roman" w:cs="Times New Roman"/>
          <w:sz w:val="24"/>
          <w:szCs w:val="24"/>
          <w:lang w:val="en-US"/>
        </w:rPr>
        <w:t xml:space="preserve">, and also by the Financial Stability Fund, </w:t>
      </w:r>
      <w:r>
        <w:rPr>
          <w:rFonts w:ascii="Times New Roman" w:hAnsi="Times New Roman" w:cs="Times New Roman"/>
          <w:sz w:val="24"/>
          <w:szCs w:val="24"/>
          <w:lang w:val="en-US"/>
        </w:rPr>
        <w:t>formed</w:t>
      </w:r>
      <w:r w:rsidRPr="0063061C">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the deposits made by </w:t>
      </w:r>
      <w:r w:rsidRPr="0063061C">
        <w:rPr>
          <w:rFonts w:ascii="Times New Roman" w:hAnsi="Times New Roman" w:cs="Times New Roman"/>
          <w:sz w:val="24"/>
          <w:szCs w:val="24"/>
          <w:lang w:val="en-US"/>
        </w:rPr>
        <w:t xml:space="preserve">clearing participants </w:t>
      </w:r>
      <w:r>
        <w:rPr>
          <w:rFonts w:ascii="Times New Roman" w:hAnsi="Times New Roman" w:cs="Times New Roman"/>
          <w:sz w:val="24"/>
          <w:szCs w:val="24"/>
          <w:lang w:val="en-US"/>
        </w:rPr>
        <w:t>permitted</w:t>
      </w:r>
      <w:r w:rsidRPr="0063061C">
        <w:rPr>
          <w:rFonts w:ascii="Times New Roman" w:hAnsi="Times New Roman" w:cs="Times New Roman"/>
          <w:sz w:val="24"/>
          <w:szCs w:val="24"/>
          <w:lang w:val="en-US"/>
        </w:rPr>
        <w:t xml:space="preserve"> to</w:t>
      </w:r>
      <w:r>
        <w:rPr>
          <w:rFonts w:ascii="Times New Roman" w:hAnsi="Times New Roman" w:cs="Times New Roman"/>
          <w:sz w:val="24"/>
          <w:szCs w:val="24"/>
          <w:lang w:val="en-US"/>
        </w:rPr>
        <w:t xml:space="preserve"> participate in</w:t>
      </w:r>
      <w:r w:rsidRPr="0063061C">
        <w:rPr>
          <w:rFonts w:ascii="Times New Roman" w:hAnsi="Times New Roman" w:cs="Times New Roman"/>
          <w:sz w:val="24"/>
          <w:szCs w:val="24"/>
          <w:lang w:val="en-US"/>
        </w:rPr>
        <w:t xml:space="preserve"> </w:t>
      </w:r>
      <w:r w:rsidR="003F247E">
        <w:rPr>
          <w:rFonts w:ascii="Times New Roman" w:hAnsi="Times New Roman" w:cs="Times New Roman"/>
          <w:sz w:val="24"/>
          <w:szCs w:val="24"/>
          <w:lang w:val="en-US"/>
        </w:rPr>
        <w:t xml:space="preserve">the </w:t>
      </w:r>
      <w:r w:rsidRPr="0063061C">
        <w:rPr>
          <w:rFonts w:ascii="Times New Roman" w:hAnsi="Times New Roman" w:cs="Times New Roman"/>
          <w:sz w:val="24"/>
          <w:szCs w:val="24"/>
          <w:lang w:val="en-US"/>
        </w:rPr>
        <w:t>trading</w:t>
      </w:r>
      <w:r>
        <w:rPr>
          <w:rFonts w:ascii="Times New Roman" w:hAnsi="Times New Roman" w:cs="Times New Roman"/>
          <w:sz w:val="24"/>
          <w:szCs w:val="24"/>
          <w:lang w:val="en-US"/>
        </w:rPr>
        <w:t xml:space="preserve"> </w:t>
      </w:r>
      <w:r w:rsidRPr="0063061C">
        <w:rPr>
          <w:rFonts w:ascii="Times New Roman" w:hAnsi="Times New Roman" w:cs="Times New Roman"/>
          <w:sz w:val="24"/>
          <w:szCs w:val="24"/>
          <w:lang w:val="en-US"/>
        </w:rPr>
        <w:t xml:space="preserve"> with </w:t>
      </w:r>
      <w:r w:rsidR="003F247E">
        <w:rPr>
          <w:rFonts w:ascii="Times New Roman" w:hAnsi="Times New Roman" w:cs="Times New Roman"/>
          <w:sz w:val="24"/>
          <w:szCs w:val="24"/>
          <w:lang w:val="en-US"/>
        </w:rPr>
        <w:t xml:space="preserve">the </w:t>
      </w:r>
      <w:r w:rsidRPr="0063061C">
        <w:rPr>
          <w:rFonts w:ascii="Times New Roman" w:hAnsi="Times New Roman" w:cs="Times New Roman"/>
          <w:sz w:val="24"/>
          <w:szCs w:val="24"/>
          <w:lang w:val="en-US"/>
        </w:rPr>
        <w:t xml:space="preserve">partial collateral. </w:t>
      </w:r>
      <w:r>
        <w:rPr>
          <w:rFonts w:ascii="Times New Roman" w:hAnsi="Times New Roman" w:cs="Times New Roman"/>
          <w:sz w:val="24"/>
          <w:szCs w:val="24"/>
          <w:lang w:val="en-US"/>
        </w:rPr>
        <w:t>P</w:t>
      </w:r>
      <w:r w:rsidRPr="0063061C">
        <w:rPr>
          <w:rFonts w:ascii="Times New Roman" w:hAnsi="Times New Roman" w:cs="Times New Roman"/>
          <w:sz w:val="24"/>
          <w:szCs w:val="24"/>
          <w:lang w:val="en-US"/>
        </w:rPr>
        <w:t>articipants</w:t>
      </w:r>
      <w:r>
        <w:rPr>
          <w:rFonts w:ascii="Times New Roman" w:hAnsi="Times New Roman" w:cs="Times New Roman"/>
          <w:sz w:val="24"/>
          <w:szCs w:val="24"/>
          <w:lang w:val="en-US"/>
        </w:rPr>
        <w:t>’</w:t>
      </w:r>
      <w:r w:rsidRPr="0063061C">
        <w:rPr>
          <w:rFonts w:ascii="Times New Roman" w:hAnsi="Times New Roman" w:cs="Times New Roman"/>
          <w:sz w:val="24"/>
          <w:szCs w:val="24"/>
          <w:lang w:val="en-US"/>
        </w:rPr>
        <w:t xml:space="preserve"> </w:t>
      </w:r>
      <w:r>
        <w:rPr>
          <w:rFonts w:ascii="Times New Roman" w:hAnsi="Times New Roman" w:cs="Times New Roman"/>
          <w:sz w:val="24"/>
          <w:szCs w:val="24"/>
          <w:lang w:val="en-US"/>
        </w:rPr>
        <w:t>deposit</w:t>
      </w:r>
      <w:r w:rsidRPr="0063061C">
        <w:rPr>
          <w:rFonts w:ascii="Times New Roman" w:hAnsi="Times New Roman" w:cs="Times New Roman"/>
          <w:sz w:val="24"/>
          <w:szCs w:val="24"/>
          <w:lang w:val="en-US"/>
        </w:rPr>
        <w:t xml:space="preserve"> </w:t>
      </w:r>
      <w:r>
        <w:rPr>
          <w:rFonts w:ascii="Times New Roman" w:hAnsi="Times New Roman" w:cs="Times New Roman"/>
          <w:sz w:val="24"/>
          <w:szCs w:val="24"/>
          <w:lang w:val="en-US"/>
        </w:rPr>
        <w:t>amount</w:t>
      </w:r>
      <w:r w:rsidRPr="0063061C">
        <w:rPr>
          <w:rFonts w:ascii="Times New Roman" w:hAnsi="Times New Roman" w:cs="Times New Roman"/>
          <w:sz w:val="24"/>
          <w:szCs w:val="24"/>
          <w:lang w:val="en-US"/>
        </w:rPr>
        <w:t xml:space="preserve"> depends on the terms</w:t>
      </w:r>
      <w:r>
        <w:rPr>
          <w:rFonts w:ascii="Times New Roman" w:hAnsi="Times New Roman" w:cs="Times New Roman"/>
          <w:sz w:val="24"/>
          <w:szCs w:val="24"/>
          <w:lang w:val="en-US"/>
        </w:rPr>
        <w:t xml:space="preserve"> of their</w:t>
      </w:r>
      <w:r w:rsidRPr="0063061C">
        <w:rPr>
          <w:rFonts w:ascii="Times New Roman" w:hAnsi="Times New Roman" w:cs="Times New Roman"/>
          <w:sz w:val="24"/>
          <w:szCs w:val="24"/>
          <w:lang w:val="en-US"/>
        </w:rPr>
        <w:t xml:space="preserve"> </w:t>
      </w:r>
      <w:r>
        <w:rPr>
          <w:rFonts w:ascii="Times New Roman" w:hAnsi="Times New Roman" w:cs="Times New Roman"/>
          <w:sz w:val="24"/>
          <w:szCs w:val="24"/>
          <w:lang w:val="en-US"/>
        </w:rPr>
        <w:t>REPO transactions</w:t>
      </w:r>
      <w:r w:rsidRPr="0063061C">
        <w:rPr>
          <w:rFonts w:ascii="Times New Roman" w:hAnsi="Times New Roman" w:cs="Times New Roman"/>
          <w:sz w:val="24"/>
          <w:szCs w:val="24"/>
          <w:lang w:val="en-US"/>
        </w:rPr>
        <w:t xml:space="preserve">: at the expense of </w:t>
      </w:r>
      <w:r w:rsidR="003F247E">
        <w:rPr>
          <w:rFonts w:ascii="Times New Roman" w:hAnsi="Times New Roman" w:cs="Times New Roman"/>
          <w:sz w:val="24"/>
          <w:szCs w:val="24"/>
          <w:lang w:val="en-US"/>
        </w:rPr>
        <w:t xml:space="preserve">a </w:t>
      </w:r>
      <w:r w:rsidRPr="0063061C">
        <w:rPr>
          <w:rFonts w:ascii="Times New Roman" w:hAnsi="Times New Roman" w:cs="Times New Roman"/>
          <w:sz w:val="24"/>
          <w:szCs w:val="24"/>
          <w:lang w:val="en-US"/>
        </w:rPr>
        <w:t xml:space="preserve">participant </w:t>
      </w:r>
      <w:r>
        <w:rPr>
          <w:rFonts w:ascii="Times New Roman" w:hAnsi="Times New Roman" w:cs="Times New Roman"/>
          <w:sz w:val="24"/>
          <w:szCs w:val="24"/>
          <w:lang w:val="en-US"/>
        </w:rPr>
        <w:t xml:space="preserve">only </w:t>
      </w:r>
      <w:r w:rsidRPr="0063061C">
        <w:rPr>
          <w:rFonts w:ascii="Times New Roman" w:hAnsi="Times New Roman" w:cs="Times New Roman"/>
          <w:sz w:val="24"/>
          <w:szCs w:val="24"/>
          <w:lang w:val="en-US"/>
        </w:rPr>
        <w:t xml:space="preserve">– 5 million </w:t>
      </w:r>
      <w:proofErr w:type="spellStart"/>
      <w:r w:rsidRPr="0063061C">
        <w:rPr>
          <w:rFonts w:ascii="Times New Roman" w:hAnsi="Times New Roman" w:cs="Times New Roman"/>
          <w:sz w:val="24"/>
          <w:szCs w:val="24"/>
          <w:lang w:val="en-US"/>
        </w:rPr>
        <w:t>roubles</w:t>
      </w:r>
      <w:proofErr w:type="spellEnd"/>
      <w:r w:rsidRPr="0063061C">
        <w:rPr>
          <w:rFonts w:ascii="Times New Roman" w:hAnsi="Times New Roman" w:cs="Times New Roman"/>
          <w:sz w:val="24"/>
          <w:szCs w:val="24"/>
          <w:lang w:val="en-US"/>
        </w:rPr>
        <w:t xml:space="preserve">, at the expense of </w:t>
      </w:r>
      <w:r w:rsidR="003F247E">
        <w:rPr>
          <w:rFonts w:ascii="Times New Roman" w:hAnsi="Times New Roman" w:cs="Times New Roman"/>
          <w:sz w:val="24"/>
          <w:szCs w:val="24"/>
          <w:lang w:val="en-US"/>
        </w:rPr>
        <w:t xml:space="preserve">a </w:t>
      </w:r>
      <w:r w:rsidRPr="0063061C">
        <w:rPr>
          <w:rFonts w:ascii="Times New Roman" w:hAnsi="Times New Roman" w:cs="Times New Roman"/>
          <w:sz w:val="24"/>
          <w:szCs w:val="24"/>
          <w:lang w:val="en-US"/>
        </w:rPr>
        <w:t xml:space="preserve">participant and his clients – 10 million </w:t>
      </w:r>
      <w:proofErr w:type="spellStart"/>
      <w:r w:rsidRPr="0063061C">
        <w:rPr>
          <w:rFonts w:ascii="Times New Roman" w:hAnsi="Times New Roman" w:cs="Times New Roman"/>
          <w:sz w:val="24"/>
          <w:szCs w:val="24"/>
          <w:lang w:val="en-US"/>
        </w:rPr>
        <w:t>roubles</w:t>
      </w:r>
      <w:proofErr w:type="spellEnd"/>
      <w:r w:rsidRPr="0063061C">
        <w:rPr>
          <w:rFonts w:ascii="Times New Roman" w:hAnsi="Times New Roman" w:cs="Times New Roman"/>
          <w:sz w:val="24"/>
          <w:szCs w:val="24"/>
          <w:lang w:val="en-US"/>
        </w:rPr>
        <w:t>. The Financial Stability Fund as of January 1</w:t>
      </w:r>
      <w:r w:rsidRPr="0063061C">
        <w:rPr>
          <w:rFonts w:ascii="Times New Roman" w:hAnsi="Times New Roman" w:cs="Times New Roman"/>
          <w:sz w:val="24"/>
          <w:szCs w:val="24"/>
          <w:vertAlign w:val="superscript"/>
          <w:lang w:val="en-US"/>
        </w:rPr>
        <w:t>st</w:t>
      </w:r>
      <w:r w:rsidRPr="0063061C">
        <w:rPr>
          <w:rFonts w:ascii="Times New Roman" w:hAnsi="Times New Roman" w:cs="Times New Roman"/>
          <w:sz w:val="24"/>
          <w:szCs w:val="24"/>
          <w:lang w:val="en-US"/>
        </w:rPr>
        <w:t xml:space="preserve">, 2014 made up 1.75 billion </w:t>
      </w:r>
      <w:proofErr w:type="spellStart"/>
      <w:r w:rsidRPr="0063061C">
        <w:rPr>
          <w:rFonts w:ascii="Times New Roman" w:hAnsi="Times New Roman" w:cs="Times New Roman"/>
          <w:sz w:val="24"/>
          <w:szCs w:val="24"/>
          <w:lang w:val="en-US"/>
        </w:rPr>
        <w:t>roubles</w:t>
      </w:r>
      <w:proofErr w:type="spellEnd"/>
      <w:r w:rsidRPr="0063061C">
        <w:rPr>
          <w:rFonts w:ascii="Times New Roman" w:hAnsi="Times New Roman" w:cs="Times New Roman"/>
          <w:sz w:val="24"/>
          <w:szCs w:val="24"/>
          <w:lang w:val="en-US"/>
        </w:rPr>
        <w:t xml:space="preserve">. </w:t>
      </w:r>
    </w:p>
    <w:p w:rsidR="00D55472" w:rsidRPr="0063061C" w:rsidRDefault="00D55472" w:rsidP="00D55472">
      <w:pPr>
        <w:spacing w:after="120" w:line="240" w:lineRule="auto"/>
        <w:ind w:firstLine="567"/>
        <w:jc w:val="both"/>
        <w:rPr>
          <w:rFonts w:ascii="Times New Roman" w:hAnsi="Times New Roman" w:cs="Times New Roman"/>
          <w:sz w:val="24"/>
          <w:szCs w:val="24"/>
          <w:lang w:val="en-US"/>
        </w:rPr>
      </w:pPr>
      <w:r w:rsidRPr="0063061C">
        <w:rPr>
          <w:rFonts w:ascii="Times New Roman" w:hAnsi="Times New Roman" w:cs="Times New Roman"/>
          <w:sz w:val="24"/>
          <w:szCs w:val="24"/>
          <w:lang w:val="en-US"/>
        </w:rPr>
        <w:t>On the standardized derivatives market all the clearing participants</w:t>
      </w:r>
      <w:r>
        <w:rPr>
          <w:rFonts w:ascii="Times New Roman" w:hAnsi="Times New Roman" w:cs="Times New Roman"/>
          <w:sz w:val="24"/>
          <w:szCs w:val="24"/>
          <w:lang w:val="en-US"/>
        </w:rPr>
        <w:t>,</w:t>
      </w:r>
      <w:r w:rsidRPr="0063061C">
        <w:rPr>
          <w:rFonts w:ascii="Times New Roman" w:hAnsi="Times New Roman" w:cs="Times New Roman"/>
          <w:sz w:val="24"/>
          <w:szCs w:val="24"/>
          <w:lang w:val="en-US"/>
        </w:rPr>
        <w:t xml:space="preserve"> </w:t>
      </w:r>
      <w:r w:rsidR="00FB2750">
        <w:rPr>
          <w:rFonts w:ascii="Times New Roman" w:hAnsi="Times New Roman" w:cs="Times New Roman"/>
          <w:sz w:val="24"/>
          <w:szCs w:val="24"/>
          <w:lang w:val="en-US"/>
        </w:rPr>
        <w:t>s</w:t>
      </w:r>
      <w:r w:rsidRPr="0063061C">
        <w:rPr>
          <w:rFonts w:ascii="Times New Roman" w:hAnsi="Times New Roman" w:cs="Times New Roman"/>
          <w:sz w:val="24"/>
          <w:szCs w:val="24"/>
          <w:lang w:val="en-US"/>
        </w:rPr>
        <w:t xml:space="preserve">hall make contribution to the Guarantee Fund in the amount of 10 million </w:t>
      </w:r>
      <w:proofErr w:type="spellStart"/>
      <w:r w:rsidRPr="0063061C">
        <w:rPr>
          <w:rFonts w:ascii="Times New Roman" w:hAnsi="Times New Roman" w:cs="Times New Roman"/>
          <w:sz w:val="24"/>
          <w:szCs w:val="24"/>
          <w:lang w:val="en-US"/>
        </w:rPr>
        <w:t>roubles</w:t>
      </w:r>
      <w:proofErr w:type="spellEnd"/>
      <w:r w:rsidRPr="0063061C">
        <w:rPr>
          <w:rFonts w:ascii="Times New Roman" w:hAnsi="Times New Roman" w:cs="Times New Roman"/>
          <w:sz w:val="24"/>
          <w:szCs w:val="24"/>
          <w:lang w:val="en-US"/>
        </w:rPr>
        <w:t xml:space="preserve">. The size of the Financial Stability Fund as of January 1, 2014 made up 90 million </w:t>
      </w:r>
      <w:proofErr w:type="spellStart"/>
      <w:r w:rsidRPr="0063061C">
        <w:rPr>
          <w:rFonts w:ascii="Times New Roman" w:hAnsi="Times New Roman" w:cs="Times New Roman"/>
          <w:sz w:val="24"/>
          <w:szCs w:val="24"/>
          <w:lang w:val="en-US"/>
        </w:rPr>
        <w:t>roubles</w:t>
      </w:r>
      <w:proofErr w:type="spellEnd"/>
      <w:r w:rsidRPr="0063061C">
        <w:rPr>
          <w:rFonts w:ascii="Times New Roman" w:hAnsi="Times New Roman" w:cs="Times New Roman"/>
          <w:sz w:val="24"/>
          <w:szCs w:val="24"/>
          <w:lang w:val="en-US"/>
        </w:rPr>
        <w:t xml:space="preserve">. NCC’s capital used for </w:t>
      </w:r>
      <w:r>
        <w:rPr>
          <w:rFonts w:ascii="Times New Roman" w:hAnsi="Times New Roman" w:cs="Times New Roman"/>
          <w:sz w:val="24"/>
          <w:szCs w:val="24"/>
          <w:lang w:val="en-US"/>
        </w:rPr>
        <w:t xml:space="preserve">covering this market’s risks has liability limit of </w:t>
      </w:r>
      <w:r w:rsidRPr="0063061C">
        <w:rPr>
          <w:rFonts w:ascii="Times New Roman" w:hAnsi="Times New Roman" w:cs="Times New Roman"/>
          <w:sz w:val="24"/>
          <w:szCs w:val="24"/>
          <w:lang w:val="en-US"/>
        </w:rPr>
        <w:t xml:space="preserve">50 million US dollars (10 million US dollars of which are used </w:t>
      </w:r>
      <w:r>
        <w:rPr>
          <w:rFonts w:ascii="Times New Roman" w:hAnsi="Times New Roman" w:cs="Times New Roman"/>
          <w:sz w:val="24"/>
          <w:szCs w:val="24"/>
          <w:lang w:val="en-US"/>
        </w:rPr>
        <w:t xml:space="preserve">before </w:t>
      </w:r>
      <w:r w:rsidRPr="0063061C">
        <w:rPr>
          <w:rFonts w:ascii="Times New Roman" w:hAnsi="Times New Roman" w:cs="Times New Roman"/>
          <w:sz w:val="24"/>
          <w:szCs w:val="24"/>
          <w:lang w:val="en-US"/>
        </w:rPr>
        <w:t>contributions of non-defaulting clearing members).</w:t>
      </w:r>
    </w:p>
    <w:p w:rsidR="00D55472" w:rsidRPr="0063061C" w:rsidRDefault="00D55472" w:rsidP="00D55472">
      <w:pPr>
        <w:spacing w:after="120" w:line="240" w:lineRule="auto"/>
        <w:ind w:firstLine="567"/>
        <w:jc w:val="both"/>
        <w:rPr>
          <w:rFonts w:ascii="Times New Roman" w:hAnsi="Times New Roman" w:cs="Times New Roman"/>
          <w:sz w:val="24"/>
          <w:szCs w:val="24"/>
          <w:lang w:val="en-US"/>
        </w:rPr>
      </w:pPr>
      <w:r w:rsidRPr="0063061C">
        <w:rPr>
          <w:rFonts w:ascii="Times New Roman" w:hAnsi="Times New Roman" w:cs="Times New Roman"/>
          <w:sz w:val="24"/>
          <w:szCs w:val="24"/>
          <w:lang w:val="en-US"/>
        </w:rPr>
        <w:t>The</w:t>
      </w:r>
      <w:r>
        <w:rPr>
          <w:rFonts w:ascii="Times New Roman" w:hAnsi="Times New Roman" w:cs="Times New Roman"/>
          <w:sz w:val="24"/>
          <w:szCs w:val="24"/>
          <w:lang w:val="en-US"/>
        </w:rPr>
        <w:t xml:space="preserve"> order of applying to the</w:t>
      </w:r>
      <w:r w:rsidRPr="0063061C">
        <w:rPr>
          <w:rFonts w:ascii="Times New Roman" w:hAnsi="Times New Roman" w:cs="Times New Roman"/>
          <w:sz w:val="24"/>
          <w:szCs w:val="24"/>
          <w:lang w:val="en-US"/>
        </w:rPr>
        <w:t xml:space="preserve"> guarantee fund</w:t>
      </w:r>
      <w:r>
        <w:rPr>
          <w:rFonts w:ascii="Times New Roman" w:hAnsi="Times New Roman" w:cs="Times New Roman"/>
          <w:sz w:val="24"/>
          <w:szCs w:val="24"/>
          <w:lang w:val="en-US"/>
        </w:rPr>
        <w:t>s</w:t>
      </w:r>
      <w:r w:rsidRPr="0063061C">
        <w:rPr>
          <w:rFonts w:ascii="Times New Roman" w:hAnsi="Times New Roman" w:cs="Times New Roman"/>
          <w:sz w:val="24"/>
          <w:szCs w:val="24"/>
          <w:lang w:val="en-US"/>
        </w:rPr>
        <w:t xml:space="preserve"> and NCC’s funds in case of default of clearing participant on different markets is </w:t>
      </w:r>
      <w:proofErr w:type="gramStart"/>
      <w:r w:rsidRPr="0063061C">
        <w:rPr>
          <w:rFonts w:ascii="Times New Roman" w:hAnsi="Times New Roman" w:cs="Times New Roman"/>
          <w:sz w:val="24"/>
          <w:szCs w:val="24"/>
          <w:lang w:val="en-US"/>
        </w:rPr>
        <w:t>shown  below</w:t>
      </w:r>
      <w:proofErr w:type="gramEnd"/>
      <w:r w:rsidRPr="0063061C">
        <w:rPr>
          <w:rFonts w:ascii="Times New Roman" w:hAnsi="Times New Roman" w:cs="Times New Roman"/>
          <w:sz w:val="24"/>
          <w:szCs w:val="24"/>
          <w:lang w:val="en-US"/>
        </w:rPr>
        <w:t>:</w:t>
      </w:r>
    </w:p>
    <w:tbl>
      <w:tblPr>
        <w:tblStyle w:val="ad"/>
        <w:tblW w:w="0" w:type="auto"/>
        <w:tblInd w:w="534" w:type="dxa"/>
        <w:tblLook w:val="04A0" w:firstRow="1" w:lastRow="0" w:firstColumn="1" w:lastColumn="0" w:noHBand="0" w:noVBand="1"/>
      </w:tblPr>
      <w:tblGrid>
        <w:gridCol w:w="2090"/>
        <w:gridCol w:w="2091"/>
        <w:gridCol w:w="2091"/>
        <w:gridCol w:w="2091"/>
      </w:tblGrid>
      <w:tr w:rsidR="00D55472" w:rsidRPr="0063061C" w:rsidTr="005B4876">
        <w:tc>
          <w:tcPr>
            <w:tcW w:w="2090" w:type="dxa"/>
            <w:shd w:val="clear" w:color="auto" w:fill="CC0000"/>
          </w:tcPr>
          <w:p w:rsidR="00D55472" w:rsidRPr="0063061C" w:rsidRDefault="00D55472" w:rsidP="005B4876">
            <w:pPr>
              <w:jc w:val="center"/>
              <w:rPr>
                <w:rFonts w:ascii="Times New Roman" w:hAnsi="Times New Roman" w:cs="Times New Roman"/>
                <w:b/>
                <w:sz w:val="24"/>
                <w:szCs w:val="24"/>
                <w:lang w:val="en-US"/>
              </w:rPr>
            </w:pPr>
            <w:r w:rsidRPr="0063061C">
              <w:rPr>
                <w:rFonts w:ascii="Times New Roman" w:hAnsi="Times New Roman" w:cs="Times New Roman"/>
                <w:b/>
                <w:sz w:val="24"/>
                <w:szCs w:val="24"/>
                <w:lang w:val="en-US"/>
              </w:rPr>
              <w:t>Foreign Exchange</w:t>
            </w:r>
            <w:r>
              <w:rPr>
                <w:rFonts w:ascii="Times New Roman" w:hAnsi="Times New Roman" w:cs="Times New Roman"/>
                <w:b/>
                <w:sz w:val="24"/>
                <w:szCs w:val="24"/>
                <w:lang w:val="en-US"/>
              </w:rPr>
              <w:t xml:space="preserve"> Market</w:t>
            </w:r>
          </w:p>
        </w:tc>
        <w:tc>
          <w:tcPr>
            <w:tcW w:w="2091" w:type="dxa"/>
            <w:shd w:val="clear" w:color="auto" w:fill="CC0000"/>
          </w:tcPr>
          <w:p w:rsidR="00D55472" w:rsidRPr="0063061C" w:rsidRDefault="00D55472" w:rsidP="005B4876">
            <w:pPr>
              <w:jc w:val="center"/>
              <w:rPr>
                <w:rFonts w:ascii="Times New Roman" w:hAnsi="Times New Roman" w:cs="Times New Roman"/>
                <w:b/>
                <w:sz w:val="24"/>
                <w:szCs w:val="24"/>
                <w:lang w:val="en-US"/>
              </w:rPr>
            </w:pPr>
            <w:r w:rsidRPr="0063061C">
              <w:rPr>
                <w:rFonts w:ascii="Times New Roman" w:hAnsi="Times New Roman" w:cs="Times New Roman"/>
                <w:b/>
                <w:sz w:val="24"/>
                <w:szCs w:val="24"/>
                <w:lang w:val="en-US"/>
              </w:rPr>
              <w:t>S</w:t>
            </w:r>
            <w:r>
              <w:rPr>
                <w:rFonts w:ascii="Times New Roman" w:hAnsi="Times New Roman" w:cs="Times New Roman"/>
                <w:b/>
                <w:sz w:val="24"/>
                <w:szCs w:val="24"/>
                <w:lang w:val="en-US"/>
              </w:rPr>
              <w:t>ecurities</w:t>
            </w:r>
            <w:r w:rsidRPr="0063061C">
              <w:rPr>
                <w:rFonts w:ascii="Times New Roman" w:hAnsi="Times New Roman" w:cs="Times New Roman"/>
                <w:b/>
                <w:sz w:val="24"/>
                <w:szCs w:val="24"/>
                <w:lang w:val="en-US"/>
              </w:rPr>
              <w:t xml:space="preserve"> Market</w:t>
            </w:r>
          </w:p>
        </w:tc>
        <w:tc>
          <w:tcPr>
            <w:tcW w:w="2091" w:type="dxa"/>
            <w:shd w:val="clear" w:color="auto" w:fill="CC0000"/>
          </w:tcPr>
          <w:p w:rsidR="00D55472" w:rsidRPr="0063061C" w:rsidRDefault="00D55472" w:rsidP="005B4876">
            <w:pPr>
              <w:jc w:val="center"/>
              <w:rPr>
                <w:rFonts w:ascii="Times New Roman" w:hAnsi="Times New Roman" w:cs="Times New Roman"/>
                <w:b/>
                <w:sz w:val="24"/>
                <w:szCs w:val="24"/>
                <w:lang w:val="en-US"/>
              </w:rPr>
            </w:pPr>
            <w:r w:rsidRPr="0063061C">
              <w:rPr>
                <w:rFonts w:ascii="Times New Roman" w:hAnsi="Times New Roman" w:cs="Times New Roman"/>
                <w:b/>
                <w:sz w:val="24"/>
                <w:szCs w:val="24"/>
                <w:lang w:val="en-US"/>
              </w:rPr>
              <w:t>Derivatives Market</w:t>
            </w:r>
          </w:p>
        </w:tc>
        <w:tc>
          <w:tcPr>
            <w:tcW w:w="2091" w:type="dxa"/>
            <w:shd w:val="clear" w:color="auto" w:fill="CC0000"/>
          </w:tcPr>
          <w:p w:rsidR="00D55472" w:rsidRPr="0063061C" w:rsidRDefault="00D55472" w:rsidP="005B4876">
            <w:pPr>
              <w:jc w:val="center"/>
              <w:rPr>
                <w:rFonts w:ascii="Times New Roman" w:hAnsi="Times New Roman" w:cs="Times New Roman"/>
                <w:b/>
                <w:sz w:val="24"/>
                <w:szCs w:val="24"/>
                <w:lang w:val="en-US"/>
              </w:rPr>
            </w:pPr>
            <w:r w:rsidRPr="0063061C">
              <w:rPr>
                <w:rFonts w:ascii="Times New Roman" w:hAnsi="Times New Roman" w:cs="Times New Roman"/>
                <w:b/>
                <w:sz w:val="24"/>
                <w:szCs w:val="24"/>
                <w:lang w:val="en-US"/>
              </w:rPr>
              <w:t xml:space="preserve">Standardized </w:t>
            </w:r>
            <w:r>
              <w:rPr>
                <w:rFonts w:ascii="Times New Roman" w:hAnsi="Times New Roman" w:cs="Times New Roman"/>
                <w:b/>
                <w:sz w:val="24"/>
                <w:szCs w:val="24"/>
                <w:lang w:val="en-US"/>
              </w:rPr>
              <w:t>DI</w:t>
            </w:r>
            <w:r w:rsidRPr="0063061C">
              <w:rPr>
                <w:rFonts w:ascii="Times New Roman" w:hAnsi="Times New Roman" w:cs="Times New Roman"/>
                <w:b/>
                <w:sz w:val="24"/>
                <w:szCs w:val="24"/>
                <w:lang w:val="en-US"/>
              </w:rPr>
              <w:t xml:space="preserve"> Market</w:t>
            </w:r>
          </w:p>
        </w:tc>
      </w:tr>
      <w:tr w:rsidR="00D55472" w:rsidRPr="009F55B7" w:rsidTr="005B4876">
        <w:trPr>
          <w:trHeight w:val="135"/>
        </w:trPr>
        <w:tc>
          <w:tcPr>
            <w:tcW w:w="2090" w:type="dxa"/>
            <w:vMerge w:val="restart"/>
            <w:shd w:val="clear" w:color="auto" w:fill="808080" w:themeFill="background1" w:themeFillShade="80"/>
          </w:tcPr>
          <w:p w:rsidR="00D55472" w:rsidRPr="0063061C" w:rsidRDefault="00D55472" w:rsidP="005B4876">
            <w:pPr>
              <w:jc w:val="center"/>
              <w:rPr>
                <w:rFonts w:ascii="Times New Roman" w:hAnsi="Times New Roman" w:cs="Times New Roman"/>
                <w:sz w:val="24"/>
                <w:szCs w:val="24"/>
                <w:lang w:val="en-US"/>
              </w:rPr>
            </w:pPr>
            <w:r w:rsidRPr="00953626">
              <w:rPr>
                <w:rFonts w:ascii="Times New Roman" w:hAnsi="Times New Roman" w:cs="Times New Roman"/>
                <w:b/>
                <w:noProof/>
                <w:sz w:val="24"/>
                <w:szCs w:val="24"/>
                <w:lang w:eastAsia="ru-RU"/>
              </w:rPr>
              <mc:AlternateContent>
                <mc:Choice Requires="wps">
                  <w:drawing>
                    <wp:anchor distT="0" distB="0" distL="114300" distR="114300" simplePos="0" relativeHeight="251675648" behindDoc="0" locked="0" layoutInCell="1" allowOverlap="1" wp14:anchorId="0D0A400E" wp14:editId="5D48019F">
                      <wp:simplePos x="0" y="0"/>
                      <wp:positionH relativeFrom="column">
                        <wp:posOffset>-441215</wp:posOffset>
                      </wp:positionH>
                      <wp:positionV relativeFrom="paragraph">
                        <wp:posOffset>-9249</wp:posOffset>
                      </wp:positionV>
                      <wp:extent cx="349250" cy="1956021"/>
                      <wp:effectExtent l="57150" t="38100" r="31750" b="101600"/>
                      <wp:wrapNone/>
                      <wp:docPr id="25" name="Стрелка вверх 25"/>
                      <wp:cNvGraphicFramePr/>
                      <a:graphic xmlns:a="http://schemas.openxmlformats.org/drawingml/2006/main">
                        <a:graphicData uri="http://schemas.microsoft.com/office/word/2010/wordprocessingShape">
                          <wps:wsp>
                            <wps:cNvSpPr/>
                            <wps:spPr>
                              <a:xfrm>
                                <a:off x="0" y="0"/>
                                <a:ext cx="349250" cy="1956021"/>
                              </a:xfrm>
                              <a:prstGeom prst="up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5" o:spid="_x0000_s1026" type="#_x0000_t68" style="position:absolute;margin-left:-34.75pt;margin-top:-.75pt;width:27.5pt;height:15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" adj="1928" fillcolor="#bcbcbc">
                      <v:fill color2="#ededed" rotate="t" angle="180" colors="0 #bcbcbc;22938f #d0d0d0;1 #ededed" focus="100%" type="gradient"/>
                      <v:shadow on="t" color="black" opacity="24903f" origin=",.5" offset="0,.55556mm"/>
                    </v:shape>
                  </w:pict>
                </mc:Fallback>
              </mc:AlternateContent>
            </w:r>
            <w:r w:rsidRPr="0063061C">
              <w:rPr>
                <w:rFonts w:ascii="Times New Roman" w:hAnsi="Times New Roman" w:cs="Times New Roman"/>
                <w:sz w:val="24"/>
                <w:szCs w:val="24"/>
                <w:lang w:val="en-US"/>
              </w:rPr>
              <w:t>NCC</w:t>
            </w:r>
            <w:r>
              <w:rPr>
                <w:rFonts w:ascii="Times New Roman" w:hAnsi="Times New Roman" w:cs="Times New Roman"/>
                <w:sz w:val="24"/>
                <w:szCs w:val="24"/>
                <w:lang w:val="en-US"/>
              </w:rPr>
              <w:t>’s</w:t>
            </w:r>
            <w:r w:rsidRPr="0063061C">
              <w:rPr>
                <w:rFonts w:ascii="Times New Roman" w:hAnsi="Times New Roman" w:cs="Times New Roman"/>
                <w:sz w:val="24"/>
                <w:szCs w:val="24"/>
                <w:lang w:val="en-US"/>
              </w:rPr>
              <w:t xml:space="preserve"> Capital</w:t>
            </w:r>
          </w:p>
        </w:tc>
        <w:tc>
          <w:tcPr>
            <w:tcW w:w="2091" w:type="dxa"/>
            <w:vMerge w:val="restart"/>
            <w:shd w:val="clear" w:color="auto" w:fill="808080" w:themeFill="background1" w:themeFillShade="80"/>
          </w:tcPr>
          <w:p w:rsidR="00D55472" w:rsidRPr="0063061C" w:rsidRDefault="00D55472" w:rsidP="005B4876">
            <w:pPr>
              <w:jc w:val="center"/>
              <w:rPr>
                <w:rFonts w:ascii="Times New Roman" w:hAnsi="Times New Roman" w:cs="Times New Roman"/>
                <w:sz w:val="24"/>
                <w:szCs w:val="24"/>
                <w:lang w:val="en-US"/>
              </w:rPr>
            </w:pPr>
            <w:r w:rsidRPr="0063061C">
              <w:rPr>
                <w:rFonts w:ascii="Times New Roman" w:hAnsi="Times New Roman" w:cs="Times New Roman"/>
                <w:sz w:val="24"/>
                <w:szCs w:val="24"/>
                <w:lang w:val="en-US"/>
              </w:rPr>
              <w:t>NCC</w:t>
            </w:r>
            <w:r>
              <w:rPr>
                <w:rFonts w:ascii="Times New Roman" w:hAnsi="Times New Roman" w:cs="Times New Roman"/>
                <w:sz w:val="24"/>
                <w:szCs w:val="24"/>
                <w:lang w:val="en-US"/>
              </w:rPr>
              <w:t>’s</w:t>
            </w:r>
            <w:r w:rsidRPr="0063061C">
              <w:rPr>
                <w:rFonts w:ascii="Times New Roman" w:hAnsi="Times New Roman" w:cs="Times New Roman"/>
                <w:sz w:val="24"/>
                <w:szCs w:val="24"/>
                <w:lang w:val="en-US"/>
              </w:rPr>
              <w:t xml:space="preserve"> Capital</w:t>
            </w:r>
          </w:p>
        </w:tc>
        <w:tc>
          <w:tcPr>
            <w:tcW w:w="2091" w:type="dxa"/>
            <w:vMerge w:val="restart"/>
            <w:shd w:val="clear" w:color="auto" w:fill="808080" w:themeFill="background1" w:themeFillShade="80"/>
          </w:tcPr>
          <w:p w:rsidR="00D55472" w:rsidRPr="0063061C" w:rsidRDefault="00D55472" w:rsidP="005B4876">
            <w:pPr>
              <w:jc w:val="center"/>
              <w:rPr>
                <w:rFonts w:ascii="Times New Roman" w:hAnsi="Times New Roman" w:cs="Times New Roman"/>
                <w:sz w:val="24"/>
                <w:szCs w:val="24"/>
                <w:lang w:val="en-US"/>
              </w:rPr>
            </w:pPr>
            <w:r w:rsidRPr="0063061C">
              <w:rPr>
                <w:rFonts w:ascii="Times New Roman" w:hAnsi="Times New Roman" w:cs="Times New Roman"/>
                <w:sz w:val="24"/>
                <w:szCs w:val="24"/>
                <w:lang w:val="en-US"/>
              </w:rPr>
              <w:t>NCC</w:t>
            </w:r>
            <w:r>
              <w:rPr>
                <w:rFonts w:ascii="Times New Roman" w:hAnsi="Times New Roman" w:cs="Times New Roman"/>
                <w:sz w:val="24"/>
                <w:szCs w:val="24"/>
                <w:lang w:val="en-US"/>
              </w:rPr>
              <w:t>’s</w:t>
            </w:r>
            <w:r w:rsidRPr="0063061C">
              <w:rPr>
                <w:rFonts w:ascii="Times New Roman" w:hAnsi="Times New Roman" w:cs="Times New Roman"/>
                <w:sz w:val="24"/>
                <w:szCs w:val="24"/>
                <w:lang w:val="en-US"/>
              </w:rPr>
              <w:t xml:space="preserve"> Capital</w:t>
            </w:r>
          </w:p>
        </w:tc>
        <w:tc>
          <w:tcPr>
            <w:tcW w:w="2091" w:type="dxa"/>
            <w:shd w:val="clear" w:color="auto" w:fill="808080" w:themeFill="background1" w:themeFillShade="80"/>
          </w:tcPr>
          <w:p w:rsidR="00D55472" w:rsidRPr="0063061C" w:rsidRDefault="00D55472" w:rsidP="005B4876">
            <w:pPr>
              <w:jc w:val="center"/>
              <w:rPr>
                <w:rFonts w:ascii="Times New Roman" w:hAnsi="Times New Roman" w:cs="Times New Roman"/>
                <w:sz w:val="24"/>
                <w:szCs w:val="24"/>
                <w:lang w:val="en-US"/>
              </w:rPr>
            </w:pPr>
            <w:r>
              <w:rPr>
                <w:rFonts w:ascii="Times New Roman" w:hAnsi="Times New Roman" w:cs="Times New Roman"/>
                <w:sz w:val="24"/>
                <w:szCs w:val="24"/>
                <w:lang w:val="en-US"/>
              </w:rPr>
              <w:t>Transfer of a defaulter’s position to other members</w:t>
            </w:r>
          </w:p>
        </w:tc>
      </w:tr>
      <w:tr w:rsidR="00D55472" w:rsidRPr="0063061C" w:rsidTr="005B4876">
        <w:trPr>
          <w:trHeight w:val="135"/>
        </w:trPr>
        <w:tc>
          <w:tcPr>
            <w:tcW w:w="2090" w:type="dxa"/>
            <w:vMerge/>
            <w:shd w:val="clear" w:color="auto" w:fill="808080" w:themeFill="background1" w:themeFillShade="80"/>
          </w:tcPr>
          <w:p w:rsidR="00D55472" w:rsidRPr="0063061C" w:rsidRDefault="00D55472" w:rsidP="005B4876">
            <w:pPr>
              <w:ind w:firstLine="567"/>
              <w:jc w:val="center"/>
              <w:rPr>
                <w:rFonts w:ascii="Times New Roman" w:hAnsi="Times New Roman" w:cs="Times New Roman"/>
                <w:sz w:val="24"/>
                <w:szCs w:val="24"/>
                <w:lang w:val="en-US"/>
              </w:rPr>
            </w:pPr>
          </w:p>
        </w:tc>
        <w:tc>
          <w:tcPr>
            <w:tcW w:w="2091" w:type="dxa"/>
            <w:vMerge/>
            <w:shd w:val="clear" w:color="auto" w:fill="808080" w:themeFill="background1" w:themeFillShade="80"/>
          </w:tcPr>
          <w:p w:rsidR="00D55472" w:rsidRPr="0063061C" w:rsidRDefault="00D55472" w:rsidP="005B4876">
            <w:pPr>
              <w:ind w:firstLine="567"/>
              <w:jc w:val="center"/>
              <w:rPr>
                <w:rFonts w:ascii="Times New Roman" w:hAnsi="Times New Roman" w:cs="Times New Roman"/>
                <w:sz w:val="24"/>
                <w:szCs w:val="24"/>
                <w:lang w:val="en-US"/>
              </w:rPr>
            </w:pPr>
          </w:p>
        </w:tc>
        <w:tc>
          <w:tcPr>
            <w:tcW w:w="2091" w:type="dxa"/>
            <w:vMerge/>
            <w:shd w:val="clear" w:color="auto" w:fill="808080" w:themeFill="background1" w:themeFillShade="80"/>
          </w:tcPr>
          <w:p w:rsidR="00D55472" w:rsidRPr="0063061C" w:rsidRDefault="00D55472" w:rsidP="005B4876">
            <w:pPr>
              <w:ind w:firstLine="567"/>
              <w:jc w:val="center"/>
              <w:rPr>
                <w:rFonts w:ascii="Times New Roman" w:hAnsi="Times New Roman" w:cs="Times New Roman"/>
                <w:sz w:val="24"/>
                <w:szCs w:val="24"/>
                <w:lang w:val="en-US"/>
              </w:rPr>
            </w:pPr>
          </w:p>
        </w:tc>
        <w:tc>
          <w:tcPr>
            <w:tcW w:w="2091" w:type="dxa"/>
            <w:shd w:val="clear" w:color="auto" w:fill="808080" w:themeFill="background1" w:themeFillShade="80"/>
          </w:tcPr>
          <w:p w:rsidR="00D55472" w:rsidRPr="0063061C" w:rsidRDefault="00D55472" w:rsidP="005B4876">
            <w:pPr>
              <w:jc w:val="center"/>
              <w:rPr>
                <w:rFonts w:ascii="Times New Roman" w:hAnsi="Times New Roman" w:cs="Times New Roman"/>
                <w:sz w:val="24"/>
                <w:szCs w:val="24"/>
                <w:lang w:val="en-US"/>
              </w:rPr>
            </w:pPr>
            <w:r w:rsidRPr="0063061C">
              <w:rPr>
                <w:rFonts w:ascii="Times New Roman" w:hAnsi="Times New Roman" w:cs="Times New Roman"/>
                <w:sz w:val="24"/>
                <w:szCs w:val="24"/>
                <w:lang w:val="en-US"/>
              </w:rPr>
              <w:t>NCC Capital</w:t>
            </w:r>
          </w:p>
        </w:tc>
      </w:tr>
      <w:tr w:rsidR="00D55472" w:rsidRPr="0063061C" w:rsidTr="005B4876">
        <w:tc>
          <w:tcPr>
            <w:tcW w:w="2090" w:type="dxa"/>
            <w:shd w:val="clear" w:color="auto" w:fill="808080" w:themeFill="background1" w:themeFillShade="80"/>
          </w:tcPr>
          <w:p w:rsidR="00D55472" w:rsidRPr="0063061C" w:rsidRDefault="00D55472" w:rsidP="005B4876">
            <w:pPr>
              <w:jc w:val="center"/>
              <w:rPr>
                <w:rFonts w:ascii="Times New Roman" w:hAnsi="Times New Roman" w:cs="Times New Roman"/>
                <w:sz w:val="24"/>
                <w:szCs w:val="24"/>
                <w:lang w:val="en-US"/>
              </w:rPr>
            </w:pPr>
            <w:r w:rsidRPr="0063061C">
              <w:rPr>
                <w:rFonts w:ascii="Times New Roman" w:eastAsia="Calibri" w:hAnsi="Times New Roman" w:cs="Times New Roman"/>
                <w:sz w:val="24"/>
                <w:szCs w:val="24"/>
                <w:lang w:val="en-US"/>
              </w:rPr>
              <w:t>Risk Covering Fund</w:t>
            </w:r>
          </w:p>
        </w:tc>
        <w:tc>
          <w:tcPr>
            <w:tcW w:w="2091" w:type="dxa"/>
            <w:shd w:val="clear" w:color="auto" w:fill="808080" w:themeFill="background1" w:themeFillShade="80"/>
          </w:tcPr>
          <w:p w:rsidR="00D55472" w:rsidRPr="0063061C" w:rsidRDefault="00D55472" w:rsidP="005B4876">
            <w:pPr>
              <w:jc w:val="center"/>
              <w:rPr>
                <w:rFonts w:ascii="Times New Roman" w:hAnsi="Times New Roman" w:cs="Times New Roman"/>
                <w:sz w:val="24"/>
                <w:szCs w:val="24"/>
                <w:lang w:val="en-US"/>
              </w:rPr>
            </w:pPr>
            <w:r w:rsidRPr="0063061C">
              <w:rPr>
                <w:rFonts w:ascii="Times New Roman" w:eastAsia="Calibri" w:hAnsi="Times New Roman" w:cs="Times New Roman"/>
                <w:sz w:val="24"/>
                <w:szCs w:val="24"/>
                <w:lang w:val="en-US"/>
              </w:rPr>
              <w:t>Financial Stability Fund</w:t>
            </w:r>
          </w:p>
        </w:tc>
        <w:tc>
          <w:tcPr>
            <w:tcW w:w="2091" w:type="dxa"/>
            <w:shd w:val="clear" w:color="auto" w:fill="808080" w:themeFill="background1" w:themeFillShade="80"/>
          </w:tcPr>
          <w:p w:rsidR="00D55472" w:rsidRPr="0063061C" w:rsidRDefault="00D55472" w:rsidP="005B4876">
            <w:pPr>
              <w:jc w:val="center"/>
              <w:rPr>
                <w:rFonts w:ascii="Times New Roman" w:hAnsi="Times New Roman" w:cs="Times New Roman"/>
                <w:sz w:val="24"/>
                <w:szCs w:val="24"/>
                <w:lang w:val="en-US"/>
              </w:rPr>
            </w:pPr>
            <w:r w:rsidRPr="0063061C">
              <w:rPr>
                <w:rFonts w:ascii="Times New Roman" w:hAnsi="Times New Roman" w:cs="Times New Roman"/>
                <w:sz w:val="24"/>
                <w:szCs w:val="24"/>
                <w:lang w:val="en-US"/>
              </w:rPr>
              <w:t>Guarantee Fund</w:t>
            </w:r>
          </w:p>
        </w:tc>
        <w:tc>
          <w:tcPr>
            <w:tcW w:w="2091" w:type="dxa"/>
            <w:shd w:val="clear" w:color="auto" w:fill="808080" w:themeFill="background1" w:themeFillShade="80"/>
          </w:tcPr>
          <w:p w:rsidR="00D55472" w:rsidRPr="0063061C" w:rsidRDefault="00D55472" w:rsidP="005B4876">
            <w:pPr>
              <w:jc w:val="center"/>
              <w:rPr>
                <w:rFonts w:ascii="Times New Roman" w:hAnsi="Times New Roman" w:cs="Times New Roman"/>
                <w:sz w:val="24"/>
                <w:szCs w:val="24"/>
                <w:lang w:val="en-US"/>
              </w:rPr>
            </w:pPr>
            <w:r w:rsidRPr="0063061C">
              <w:rPr>
                <w:rFonts w:ascii="Times New Roman" w:hAnsi="Times New Roman" w:cs="Times New Roman"/>
                <w:sz w:val="24"/>
                <w:szCs w:val="24"/>
                <w:lang w:val="en-US"/>
              </w:rPr>
              <w:t>Guarantee Fund</w:t>
            </w:r>
          </w:p>
        </w:tc>
      </w:tr>
      <w:tr w:rsidR="00D55472" w:rsidRPr="0063061C" w:rsidTr="005B4876">
        <w:tc>
          <w:tcPr>
            <w:tcW w:w="2090" w:type="dxa"/>
            <w:shd w:val="clear" w:color="auto" w:fill="808080" w:themeFill="background1" w:themeFillShade="80"/>
          </w:tcPr>
          <w:p w:rsidR="00D55472" w:rsidRPr="0063061C" w:rsidRDefault="00D55472" w:rsidP="005B4876">
            <w:pPr>
              <w:jc w:val="center"/>
              <w:rPr>
                <w:rFonts w:ascii="Times New Roman" w:hAnsi="Times New Roman" w:cs="Times New Roman"/>
                <w:sz w:val="24"/>
                <w:szCs w:val="24"/>
                <w:lang w:val="en-US"/>
              </w:rPr>
            </w:pPr>
            <w:r w:rsidRPr="0063061C">
              <w:rPr>
                <w:rFonts w:ascii="Times New Roman" w:hAnsi="Times New Roman" w:cs="Times New Roman"/>
                <w:sz w:val="24"/>
                <w:szCs w:val="24"/>
                <w:lang w:val="en-US"/>
              </w:rPr>
              <w:t>NCC</w:t>
            </w:r>
            <w:r>
              <w:rPr>
                <w:rFonts w:ascii="Times New Roman" w:hAnsi="Times New Roman" w:cs="Times New Roman"/>
                <w:sz w:val="24"/>
                <w:szCs w:val="24"/>
                <w:lang w:val="en-US"/>
              </w:rPr>
              <w:t>’s</w:t>
            </w:r>
            <w:r w:rsidRPr="0063061C">
              <w:rPr>
                <w:rFonts w:ascii="Times New Roman" w:hAnsi="Times New Roman" w:cs="Times New Roman"/>
                <w:sz w:val="24"/>
                <w:szCs w:val="24"/>
                <w:lang w:val="en-US"/>
              </w:rPr>
              <w:t xml:space="preserve"> Capital</w:t>
            </w:r>
          </w:p>
        </w:tc>
        <w:tc>
          <w:tcPr>
            <w:tcW w:w="2091" w:type="dxa"/>
            <w:shd w:val="clear" w:color="auto" w:fill="808080" w:themeFill="background1" w:themeFillShade="80"/>
          </w:tcPr>
          <w:p w:rsidR="00D55472" w:rsidRPr="0063061C" w:rsidRDefault="00D55472" w:rsidP="005B4876">
            <w:pPr>
              <w:jc w:val="center"/>
              <w:rPr>
                <w:rFonts w:ascii="Times New Roman" w:hAnsi="Times New Roman" w:cs="Times New Roman"/>
                <w:sz w:val="24"/>
                <w:szCs w:val="24"/>
                <w:lang w:val="en-US"/>
              </w:rPr>
            </w:pPr>
            <w:r w:rsidRPr="0063061C">
              <w:rPr>
                <w:rFonts w:ascii="Times New Roman" w:hAnsi="Times New Roman" w:cs="Times New Roman"/>
                <w:sz w:val="24"/>
                <w:szCs w:val="24"/>
                <w:lang w:val="en-US"/>
              </w:rPr>
              <w:t>NCC</w:t>
            </w:r>
            <w:r>
              <w:rPr>
                <w:rFonts w:ascii="Times New Roman" w:hAnsi="Times New Roman" w:cs="Times New Roman"/>
                <w:sz w:val="24"/>
                <w:szCs w:val="24"/>
                <w:lang w:val="en-US"/>
              </w:rPr>
              <w:t>’s</w:t>
            </w:r>
            <w:r w:rsidRPr="0063061C">
              <w:rPr>
                <w:rFonts w:ascii="Times New Roman" w:hAnsi="Times New Roman" w:cs="Times New Roman"/>
                <w:sz w:val="24"/>
                <w:szCs w:val="24"/>
                <w:lang w:val="en-US"/>
              </w:rPr>
              <w:t xml:space="preserve"> Capital</w:t>
            </w:r>
          </w:p>
        </w:tc>
        <w:tc>
          <w:tcPr>
            <w:tcW w:w="2091" w:type="dxa"/>
            <w:shd w:val="clear" w:color="auto" w:fill="808080" w:themeFill="background1" w:themeFillShade="80"/>
          </w:tcPr>
          <w:p w:rsidR="00D55472" w:rsidRPr="0063061C" w:rsidRDefault="00D55472" w:rsidP="005B4876">
            <w:pPr>
              <w:jc w:val="center"/>
              <w:rPr>
                <w:rFonts w:ascii="Times New Roman" w:hAnsi="Times New Roman" w:cs="Times New Roman"/>
                <w:sz w:val="24"/>
                <w:szCs w:val="24"/>
                <w:lang w:val="en-US"/>
              </w:rPr>
            </w:pPr>
            <w:r w:rsidRPr="0063061C">
              <w:rPr>
                <w:rFonts w:ascii="Times New Roman" w:hAnsi="Times New Roman" w:cs="Times New Roman"/>
                <w:sz w:val="24"/>
                <w:szCs w:val="24"/>
                <w:lang w:val="en-US"/>
              </w:rPr>
              <w:t>NCC</w:t>
            </w:r>
            <w:r>
              <w:rPr>
                <w:rFonts w:ascii="Times New Roman" w:hAnsi="Times New Roman" w:cs="Times New Roman"/>
                <w:sz w:val="24"/>
                <w:szCs w:val="24"/>
                <w:lang w:val="en-US"/>
              </w:rPr>
              <w:t>’s</w:t>
            </w:r>
            <w:r w:rsidRPr="0063061C">
              <w:rPr>
                <w:rFonts w:ascii="Times New Roman" w:hAnsi="Times New Roman" w:cs="Times New Roman"/>
                <w:sz w:val="24"/>
                <w:szCs w:val="24"/>
                <w:lang w:val="en-US"/>
              </w:rPr>
              <w:t xml:space="preserve"> Capital</w:t>
            </w:r>
          </w:p>
        </w:tc>
        <w:tc>
          <w:tcPr>
            <w:tcW w:w="2091" w:type="dxa"/>
            <w:shd w:val="clear" w:color="auto" w:fill="808080" w:themeFill="background1" w:themeFillShade="80"/>
          </w:tcPr>
          <w:p w:rsidR="00D55472" w:rsidRPr="0063061C" w:rsidRDefault="00D55472" w:rsidP="005B4876">
            <w:pPr>
              <w:jc w:val="center"/>
              <w:rPr>
                <w:rFonts w:ascii="Times New Roman" w:hAnsi="Times New Roman" w:cs="Times New Roman"/>
                <w:sz w:val="24"/>
                <w:szCs w:val="24"/>
                <w:lang w:val="en-US"/>
              </w:rPr>
            </w:pPr>
            <w:r w:rsidRPr="0063061C">
              <w:rPr>
                <w:rFonts w:ascii="Times New Roman" w:hAnsi="Times New Roman" w:cs="Times New Roman"/>
                <w:sz w:val="24"/>
                <w:szCs w:val="24"/>
                <w:lang w:val="en-US"/>
              </w:rPr>
              <w:t>NCC</w:t>
            </w:r>
            <w:r>
              <w:rPr>
                <w:rFonts w:ascii="Times New Roman" w:hAnsi="Times New Roman" w:cs="Times New Roman"/>
                <w:sz w:val="24"/>
                <w:szCs w:val="24"/>
                <w:lang w:val="en-US"/>
              </w:rPr>
              <w:t>’s</w:t>
            </w:r>
            <w:r w:rsidRPr="0063061C">
              <w:rPr>
                <w:rFonts w:ascii="Times New Roman" w:hAnsi="Times New Roman" w:cs="Times New Roman"/>
                <w:sz w:val="24"/>
                <w:szCs w:val="24"/>
                <w:lang w:val="en-US"/>
              </w:rPr>
              <w:t xml:space="preserve"> Capital</w:t>
            </w:r>
          </w:p>
        </w:tc>
      </w:tr>
      <w:tr w:rsidR="00D55472" w:rsidRPr="0063061C" w:rsidTr="005B4876">
        <w:tc>
          <w:tcPr>
            <w:tcW w:w="2090" w:type="dxa"/>
            <w:shd w:val="clear" w:color="auto" w:fill="808080" w:themeFill="background1" w:themeFillShade="80"/>
          </w:tcPr>
          <w:p w:rsidR="00D55472" w:rsidRPr="0063061C" w:rsidRDefault="00D55472" w:rsidP="005B4876">
            <w:pPr>
              <w:jc w:val="center"/>
              <w:rPr>
                <w:rFonts w:ascii="Times New Roman" w:hAnsi="Times New Roman" w:cs="Times New Roman"/>
                <w:sz w:val="24"/>
                <w:szCs w:val="24"/>
                <w:lang w:val="en-US"/>
              </w:rPr>
            </w:pPr>
            <w:r w:rsidRPr="0063061C">
              <w:rPr>
                <w:rFonts w:ascii="Times New Roman" w:hAnsi="Times New Roman" w:cs="Times New Roman"/>
                <w:sz w:val="24"/>
                <w:szCs w:val="24"/>
                <w:lang w:val="en-US"/>
              </w:rPr>
              <w:t xml:space="preserve">Defaulter’s </w:t>
            </w:r>
            <w:r>
              <w:rPr>
                <w:rFonts w:ascii="Times New Roman" w:hAnsi="Times New Roman" w:cs="Times New Roman"/>
                <w:sz w:val="24"/>
                <w:szCs w:val="24"/>
                <w:lang w:val="en-US"/>
              </w:rPr>
              <w:t xml:space="preserve">Contribution </w:t>
            </w:r>
            <w:r w:rsidRPr="0063061C">
              <w:rPr>
                <w:rFonts w:ascii="Times New Roman" w:hAnsi="Times New Roman" w:cs="Times New Roman"/>
                <w:sz w:val="24"/>
                <w:szCs w:val="24"/>
                <w:lang w:val="en-US"/>
              </w:rPr>
              <w:t>to Fund</w:t>
            </w:r>
          </w:p>
        </w:tc>
        <w:tc>
          <w:tcPr>
            <w:tcW w:w="2091" w:type="dxa"/>
            <w:shd w:val="clear" w:color="auto" w:fill="808080" w:themeFill="background1" w:themeFillShade="80"/>
          </w:tcPr>
          <w:p w:rsidR="00D55472" w:rsidRPr="00247E10" w:rsidRDefault="00D55472" w:rsidP="005B4876">
            <w:pPr>
              <w:jc w:val="center"/>
              <w:rPr>
                <w:rFonts w:ascii="Times New Roman" w:hAnsi="Times New Roman" w:cs="Times New Roman"/>
                <w:sz w:val="24"/>
                <w:szCs w:val="24"/>
                <w:lang w:val="en-US"/>
              </w:rPr>
            </w:pPr>
            <w:r w:rsidRPr="009B281F">
              <w:rPr>
                <w:rFonts w:ascii="Times New Roman" w:hAnsi="Times New Roman" w:cs="Times New Roman"/>
                <w:sz w:val="24"/>
                <w:szCs w:val="24"/>
                <w:lang w:val="en-US"/>
              </w:rPr>
              <w:t>Defaulter’s Contribution</w:t>
            </w:r>
            <w:r w:rsidRPr="009B281F" w:rsidDel="00A45DDC">
              <w:rPr>
                <w:rFonts w:ascii="Times New Roman" w:hAnsi="Times New Roman" w:cs="Times New Roman"/>
                <w:sz w:val="24"/>
                <w:szCs w:val="24"/>
                <w:lang w:val="en-US"/>
              </w:rPr>
              <w:t xml:space="preserve"> </w:t>
            </w:r>
            <w:r w:rsidRPr="009B281F">
              <w:rPr>
                <w:rFonts w:ascii="Times New Roman" w:hAnsi="Times New Roman" w:cs="Times New Roman"/>
                <w:sz w:val="24"/>
                <w:szCs w:val="24"/>
                <w:lang w:val="en-US"/>
              </w:rPr>
              <w:t>to Fund</w:t>
            </w:r>
          </w:p>
        </w:tc>
        <w:tc>
          <w:tcPr>
            <w:tcW w:w="2091" w:type="dxa"/>
            <w:shd w:val="clear" w:color="auto" w:fill="808080" w:themeFill="background1" w:themeFillShade="80"/>
          </w:tcPr>
          <w:p w:rsidR="00D55472" w:rsidRPr="0063061C" w:rsidRDefault="00D55472" w:rsidP="005B4876">
            <w:pPr>
              <w:jc w:val="center"/>
              <w:rPr>
                <w:rFonts w:ascii="Times New Roman" w:hAnsi="Times New Roman" w:cs="Times New Roman"/>
                <w:sz w:val="24"/>
                <w:szCs w:val="24"/>
                <w:lang w:val="en-US"/>
              </w:rPr>
            </w:pPr>
            <w:r w:rsidRPr="0063061C">
              <w:rPr>
                <w:rFonts w:ascii="Times New Roman" w:hAnsi="Times New Roman" w:cs="Times New Roman"/>
                <w:sz w:val="24"/>
                <w:szCs w:val="24"/>
                <w:lang w:val="en-US"/>
              </w:rPr>
              <w:t xml:space="preserve">Defaulter’s </w:t>
            </w:r>
            <w:r>
              <w:rPr>
                <w:rFonts w:ascii="Times New Roman" w:hAnsi="Times New Roman" w:cs="Times New Roman"/>
                <w:sz w:val="24"/>
                <w:szCs w:val="24"/>
                <w:lang w:val="en-US"/>
              </w:rPr>
              <w:t>Contribution</w:t>
            </w:r>
            <w:r w:rsidRPr="0063061C" w:rsidDel="00A45DDC">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63061C">
              <w:rPr>
                <w:rFonts w:ascii="Times New Roman" w:hAnsi="Times New Roman" w:cs="Times New Roman"/>
                <w:sz w:val="24"/>
                <w:szCs w:val="24"/>
                <w:lang w:val="en-US"/>
              </w:rPr>
              <w:t xml:space="preserve"> Fund</w:t>
            </w:r>
          </w:p>
        </w:tc>
        <w:tc>
          <w:tcPr>
            <w:tcW w:w="2091" w:type="dxa"/>
            <w:shd w:val="clear" w:color="auto" w:fill="808080" w:themeFill="background1" w:themeFillShade="80"/>
          </w:tcPr>
          <w:p w:rsidR="00D55472" w:rsidRPr="0063061C" w:rsidRDefault="00D55472" w:rsidP="005B4876">
            <w:pPr>
              <w:jc w:val="center"/>
              <w:rPr>
                <w:rFonts w:ascii="Times New Roman" w:hAnsi="Times New Roman" w:cs="Times New Roman"/>
                <w:sz w:val="24"/>
                <w:szCs w:val="24"/>
                <w:lang w:val="en-US"/>
              </w:rPr>
            </w:pPr>
            <w:r w:rsidRPr="0063061C">
              <w:rPr>
                <w:rFonts w:ascii="Times New Roman" w:hAnsi="Times New Roman" w:cs="Times New Roman"/>
                <w:sz w:val="24"/>
                <w:szCs w:val="24"/>
                <w:lang w:val="en-US"/>
              </w:rPr>
              <w:t xml:space="preserve">Defaulter’s </w:t>
            </w:r>
            <w:r>
              <w:rPr>
                <w:rFonts w:ascii="Times New Roman" w:hAnsi="Times New Roman" w:cs="Times New Roman"/>
                <w:sz w:val="24"/>
                <w:szCs w:val="24"/>
                <w:lang w:val="en-US"/>
              </w:rPr>
              <w:t>Contribution</w:t>
            </w:r>
            <w:r w:rsidRPr="0063061C" w:rsidDel="00A45DDC">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63061C">
              <w:rPr>
                <w:rFonts w:ascii="Times New Roman" w:hAnsi="Times New Roman" w:cs="Times New Roman"/>
                <w:sz w:val="24"/>
                <w:szCs w:val="24"/>
                <w:lang w:val="en-US"/>
              </w:rPr>
              <w:t xml:space="preserve"> Fund</w:t>
            </w:r>
          </w:p>
        </w:tc>
      </w:tr>
      <w:tr w:rsidR="00D55472" w:rsidRPr="0063061C" w:rsidTr="005B4876">
        <w:tc>
          <w:tcPr>
            <w:tcW w:w="2090" w:type="dxa"/>
            <w:shd w:val="clear" w:color="auto" w:fill="808080" w:themeFill="background1" w:themeFillShade="80"/>
          </w:tcPr>
          <w:p w:rsidR="00D55472" w:rsidRPr="0063061C" w:rsidRDefault="00D55472" w:rsidP="005B4876">
            <w:pPr>
              <w:jc w:val="center"/>
              <w:rPr>
                <w:rFonts w:ascii="Times New Roman" w:hAnsi="Times New Roman" w:cs="Times New Roman"/>
                <w:sz w:val="24"/>
                <w:szCs w:val="24"/>
                <w:lang w:val="en-US"/>
              </w:rPr>
            </w:pPr>
            <w:r>
              <w:rPr>
                <w:rFonts w:ascii="Times New Roman" w:hAnsi="Times New Roman" w:cs="Times New Roman"/>
                <w:sz w:val="24"/>
                <w:szCs w:val="24"/>
                <w:lang w:val="en-US"/>
              </w:rPr>
              <w:t>Margins</w:t>
            </w:r>
          </w:p>
        </w:tc>
        <w:tc>
          <w:tcPr>
            <w:tcW w:w="2091" w:type="dxa"/>
            <w:shd w:val="clear" w:color="auto" w:fill="808080" w:themeFill="background1" w:themeFillShade="80"/>
          </w:tcPr>
          <w:p w:rsidR="00D55472" w:rsidRPr="009B281F" w:rsidRDefault="00D55472" w:rsidP="005B4876">
            <w:pPr>
              <w:jc w:val="center"/>
              <w:rPr>
                <w:rFonts w:ascii="Times New Roman" w:hAnsi="Times New Roman" w:cs="Times New Roman"/>
                <w:sz w:val="24"/>
                <w:szCs w:val="24"/>
                <w:lang w:val="en-US"/>
              </w:rPr>
            </w:pPr>
            <w:r>
              <w:rPr>
                <w:rFonts w:ascii="Times New Roman" w:hAnsi="Times New Roman" w:cs="Times New Roman"/>
                <w:sz w:val="24"/>
                <w:szCs w:val="24"/>
                <w:lang w:val="en-US"/>
              </w:rPr>
              <w:t>Margins</w:t>
            </w:r>
          </w:p>
        </w:tc>
        <w:tc>
          <w:tcPr>
            <w:tcW w:w="2091" w:type="dxa"/>
            <w:shd w:val="clear" w:color="auto" w:fill="808080" w:themeFill="background1" w:themeFillShade="80"/>
          </w:tcPr>
          <w:p w:rsidR="00D55472" w:rsidRPr="0063061C" w:rsidRDefault="00D55472" w:rsidP="005B4876">
            <w:pPr>
              <w:jc w:val="center"/>
              <w:rPr>
                <w:rFonts w:ascii="Times New Roman" w:hAnsi="Times New Roman" w:cs="Times New Roman"/>
                <w:sz w:val="24"/>
                <w:szCs w:val="24"/>
                <w:lang w:val="en-US"/>
              </w:rPr>
            </w:pPr>
            <w:r>
              <w:rPr>
                <w:rFonts w:ascii="Times New Roman" w:hAnsi="Times New Roman" w:cs="Times New Roman"/>
                <w:sz w:val="24"/>
                <w:szCs w:val="24"/>
                <w:lang w:val="en-US"/>
              </w:rPr>
              <w:t>Margins</w:t>
            </w:r>
          </w:p>
        </w:tc>
        <w:tc>
          <w:tcPr>
            <w:tcW w:w="2091" w:type="dxa"/>
            <w:shd w:val="clear" w:color="auto" w:fill="808080" w:themeFill="background1" w:themeFillShade="80"/>
          </w:tcPr>
          <w:p w:rsidR="00D55472" w:rsidRPr="0063061C" w:rsidRDefault="00D55472" w:rsidP="005B4876">
            <w:pPr>
              <w:jc w:val="center"/>
              <w:rPr>
                <w:rFonts w:ascii="Times New Roman" w:hAnsi="Times New Roman" w:cs="Times New Roman"/>
                <w:sz w:val="24"/>
                <w:szCs w:val="24"/>
                <w:lang w:val="en-US"/>
              </w:rPr>
            </w:pPr>
            <w:r>
              <w:rPr>
                <w:rFonts w:ascii="Times New Roman" w:hAnsi="Times New Roman" w:cs="Times New Roman"/>
                <w:sz w:val="24"/>
                <w:szCs w:val="24"/>
                <w:lang w:val="en-US"/>
              </w:rPr>
              <w:t>Margins</w:t>
            </w:r>
          </w:p>
        </w:tc>
      </w:tr>
    </w:tbl>
    <w:p w:rsidR="00D55472" w:rsidRPr="0063061C" w:rsidRDefault="00D55472" w:rsidP="00D55472">
      <w:pPr>
        <w:spacing w:before="100" w:after="120" w:line="240" w:lineRule="auto"/>
        <w:jc w:val="center"/>
        <w:rPr>
          <w:rFonts w:ascii="Times New Roman" w:hAnsi="Times New Roman" w:cs="Times New Roman"/>
          <w:sz w:val="24"/>
          <w:szCs w:val="24"/>
          <w:lang w:val="en-US"/>
        </w:rPr>
      </w:pPr>
    </w:p>
    <w:p w:rsidR="00D55472" w:rsidRPr="0063061C" w:rsidRDefault="00D55472" w:rsidP="00D55472">
      <w:pPr>
        <w:spacing w:before="100" w:after="120" w:line="240" w:lineRule="auto"/>
        <w:jc w:val="center"/>
        <w:rPr>
          <w:rFonts w:ascii="Times New Roman" w:hAnsi="Times New Roman" w:cs="Times New Roman"/>
          <w:sz w:val="24"/>
          <w:szCs w:val="24"/>
          <w:lang w:val="en-US"/>
        </w:rPr>
      </w:pPr>
    </w:p>
    <w:p w:rsidR="00D55472" w:rsidRPr="0063061C" w:rsidRDefault="00D55472" w:rsidP="00D55472">
      <w:pPr>
        <w:spacing w:before="100" w:after="120" w:line="240" w:lineRule="auto"/>
        <w:jc w:val="center"/>
        <w:rPr>
          <w:rFonts w:ascii="Times New Roman" w:hAnsi="Times New Roman" w:cs="Times New Roman"/>
          <w:b/>
          <w:sz w:val="24"/>
          <w:szCs w:val="24"/>
          <w:lang w:val="en-US"/>
        </w:rPr>
      </w:pPr>
      <w:r w:rsidRPr="0063061C">
        <w:rPr>
          <w:rFonts w:ascii="Times New Roman" w:hAnsi="Times New Roman" w:cs="Times New Roman"/>
          <w:b/>
          <w:sz w:val="24"/>
          <w:szCs w:val="24"/>
          <w:lang w:val="en-US"/>
        </w:rPr>
        <w:t>Default</w:t>
      </w:r>
      <w:r>
        <w:rPr>
          <w:rFonts w:ascii="Times New Roman" w:hAnsi="Times New Roman" w:cs="Times New Roman"/>
          <w:b/>
          <w:sz w:val="24"/>
          <w:szCs w:val="24"/>
          <w:lang w:val="en-US"/>
        </w:rPr>
        <w:t>-m</w:t>
      </w:r>
      <w:r w:rsidRPr="0063061C">
        <w:rPr>
          <w:rFonts w:ascii="Times New Roman" w:hAnsi="Times New Roman" w:cs="Times New Roman"/>
          <w:b/>
          <w:sz w:val="24"/>
          <w:szCs w:val="24"/>
          <w:lang w:val="en-US"/>
        </w:rPr>
        <w:t>anagement Procedures</w:t>
      </w:r>
    </w:p>
    <w:p w:rsidR="00D55472" w:rsidRPr="0063061C" w:rsidRDefault="00D55472" w:rsidP="00D55472">
      <w:pPr>
        <w:spacing w:after="120" w:line="240" w:lineRule="auto"/>
        <w:ind w:firstLine="567"/>
        <w:jc w:val="both"/>
        <w:rPr>
          <w:rFonts w:ascii="Times New Roman" w:hAnsi="Times New Roman" w:cs="Times New Roman"/>
          <w:sz w:val="24"/>
          <w:szCs w:val="24"/>
          <w:lang w:val="en-US"/>
        </w:rPr>
      </w:pPr>
      <w:r w:rsidRPr="0063061C">
        <w:rPr>
          <w:rFonts w:ascii="Times New Roman" w:hAnsi="Times New Roman" w:cs="Times New Roman"/>
          <w:sz w:val="24"/>
          <w:szCs w:val="24"/>
          <w:lang w:val="en-US"/>
        </w:rPr>
        <w:t xml:space="preserve">The default-management </w:t>
      </w:r>
      <w:r>
        <w:rPr>
          <w:rFonts w:ascii="Times New Roman" w:hAnsi="Times New Roman" w:cs="Times New Roman"/>
          <w:sz w:val="24"/>
          <w:szCs w:val="24"/>
          <w:lang w:val="en-US"/>
        </w:rPr>
        <w:t>procedures</w:t>
      </w:r>
      <w:r w:rsidRPr="0063061C">
        <w:rPr>
          <w:rFonts w:ascii="Times New Roman" w:hAnsi="Times New Roman" w:cs="Times New Roman"/>
          <w:sz w:val="24"/>
          <w:szCs w:val="24"/>
          <w:lang w:val="en-US"/>
        </w:rPr>
        <w:t xml:space="preserve"> used on </w:t>
      </w:r>
      <w:r>
        <w:rPr>
          <w:rFonts w:ascii="Times New Roman" w:hAnsi="Times New Roman" w:cs="Times New Roman"/>
          <w:sz w:val="24"/>
          <w:szCs w:val="24"/>
          <w:lang w:val="en-US"/>
        </w:rPr>
        <w:t>the FX market for</w:t>
      </w:r>
      <w:r w:rsidRPr="0063061C">
        <w:rPr>
          <w:rFonts w:ascii="Times New Roman" w:hAnsi="Times New Roman" w:cs="Times New Roman"/>
          <w:sz w:val="24"/>
          <w:szCs w:val="24"/>
          <w:lang w:val="en-US"/>
        </w:rPr>
        <w:t xml:space="preserve"> </w:t>
      </w:r>
      <w:r w:rsidRPr="004142E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63061C">
        <w:rPr>
          <w:rFonts w:ascii="Times New Roman" w:hAnsi="Times New Roman" w:cs="Times New Roman"/>
          <w:sz w:val="24"/>
          <w:szCs w:val="24"/>
          <w:lang w:val="en-US"/>
        </w:rPr>
        <w:t>counterparty replacement</w:t>
      </w:r>
      <w:r>
        <w:rPr>
          <w:rFonts w:ascii="Times New Roman" w:hAnsi="Times New Roman" w:cs="Times New Roman"/>
          <w:sz w:val="24"/>
          <w:szCs w:val="24"/>
          <w:lang w:val="en-US"/>
        </w:rPr>
        <w:t xml:space="preserve"> </w:t>
      </w:r>
      <w:r w:rsidRPr="0063061C">
        <w:rPr>
          <w:rFonts w:ascii="Times New Roman" w:hAnsi="Times New Roman" w:cs="Times New Roman"/>
          <w:sz w:val="24"/>
          <w:szCs w:val="24"/>
          <w:lang w:val="en-US"/>
        </w:rPr>
        <w:t xml:space="preserve"> implies arranging additional </w:t>
      </w:r>
      <w:r>
        <w:rPr>
          <w:rFonts w:ascii="Times New Roman" w:hAnsi="Times New Roman" w:cs="Times New Roman"/>
          <w:sz w:val="24"/>
          <w:szCs w:val="24"/>
          <w:lang w:val="en-US"/>
        </w:rPr>
        <w:t xml:space="preserve">clearing </w:t>
      </w:r>
      <w:r w:rsidRPr="0063061C">
        <w:rPr>
          <w:rFonts w:ascii="Times New Roman" w:hAnsi="Times New Roman" w:cs="Times New Roman"/>
          <w:sz w:val="24"/>
          <w:szCs w:val="24"/>
          <w:lang w:val="en-US"/>
        </w:rPr>
        <w:t>sessions of type 1 and 2 with</w:t>
      </w:r>
      <w:r>
        <w:rPr>
          <w:rFonts w:ascii="Times New Roman" w:hAnsi="Times New Roman" w:cs="Times New Roman"/>
          <w:sz w:val="24"/>
          <w:szCs w:val="24"/>
          <w:lang w:val="en-US"/>
        </w:rPr>
        <w:t xml:space="preserve"> the</w:t>
      </w:r>
      <w:r w:rsidRPr="0063061C">
        <w:rPr>
          <w:rFonts w:ascii="Times New Roman" w:hAnsi="Times New Roman" w:cs="Times New Roman"/>
          <w:sz w:val="24"/>
          <w:szCs w:val="24"/>
          <w:lang w:val="en-US"/>
        </w:rPr>
        <w:t xml:space="preserve"> defaulting clearing member. </w:t>
      </w:r>
      <w:r>
        <w:rPr>
          <w:rFonts w:ascii="Times New Roman" w:hAnsi="Times New Roman" w:cs="Times New Roman"/>
          <w:sz w:val="24"/>
          <w:szCs w:val="24"/>
          <w:lang w:val="en-US"/>
        </w:rPr>
        <w:t>A d</w:t>
      </w:r>
      <w:r w:rsidRPr="0063061C">
        <w:rPr>
          <w:rFonts w:ascii="Times New Roman" w:hAnsi="Times New Roman" w:cs="Times New Roman"/>
          <w:sz w:val="24"/>
          <w:szCs w:val="24"/>
          <w:lang w:val="en-US"/>
        </w:rPr>
        <w:t xml:space="preserve">efaulting clearing </w:t>
      </w:r>
      <w:r>
        <w:rPr>
          <w:rFonts w:ascii="Times New Roman" w:hAnsi="Times New Roman" w:cs="Times New Roman"/>
          <w:sz w:val="24"/>
          <w:szCs w:val="24"/>
          <w:lang w:val="en-US"/>
        </w:rPr>
        <w:t>participant</w:t>
      </w:r>
      <w:r w:rsidRPr="0063061C">
        <w:rPr>
          <w:rFonts w:ascii="Times New Roman" w:hAnsi="Times New Roman" w:cs="Times New Roman"/>
          <w:sz w:val="24"/>
          <w:szCs w:val="24"/>
          <w:lang w:val="en-US"/>
        </w:rPr>
        <w:t xml:space="preserve"> is a clearing participant who failed to fulfill his </w:t>
      </w:r>
      <w:r>
        <w:rPr>
          <w:rFonts w:ascii="Times New Roman" w:hAnsi="Times New Roman" w:cs="Times New Roman"/>
          <w:sz w:val="24"/>
          <w:szCs w:val="24"/>
          <w:lang w:val="en-US"/>
        </w:rPr>
        <w:t>obligations fully in time.</w:t>
      </w:r>
    </w:p>
    <w:p w:rsidR="00D55472" w:rsidRPr="0063061C" w:rsidRDefault="00D55472" w:rsidP="00D55472">
      <w:pPr>
        <w:spacing w:after="120" w:line="240" w:lineRule="auto"/>
        <w:ind w:firstLine="567"/>
        <w:jc w:val="both"/>
        <w:rPr>
          <w:rFonts w:ascii="Times New Roman" w:hAnsi="Times New Roman" w:cs="Times New Roman"/>
          <w:sz w:val="24"/>
          <w:szCs w:val="24"/>
          <w:lang w:val="en-US"/>
        </w:rPr>
      </w:pPr>
      <w:r w:rsidRPr="0063061C">
        <w:rPr>
          <w:rFonts w:ascii="Times New Roman" w:hAnsi="Times New Roman" w:cs="Times New Roman"/>
          <w:sz w:val="24"/>
          <w:szCs w:val="24"/>
          <w:lang w:val="en-US"/>
        </w:rPr>
        <w:t xml:space="preserve">The additional session of type 1 is held when </w:t>
      </w:r>
      <w:r w:rsidR="008E135F">
        <w:rPr>
          <w:rFonts w:ascii="Times New Roman" w:hAnsi="Times New Roman" w:cs="Times New Roman"/>
          <w:sz w:val="24"/>
          <w:szCs w:val="24"/>
          <w:lang w:val="en-US"/>
        </w:rPr>
        <w:t xml:space="preserve">the </w:t>
      </w:r>
      <w:r w:rsidRPr="0063061C">
        <w:rPr>
          <w:rFonts w:ascii="Times New Roman" w:hAnsi="Times New Roman" w:cs="Times New Roman"/>
          <w:sz w:val="24"/>
          <w:szCs w:val="24"/>
          <w:lang w:val="en-US"/>
        </w:rPr>
        <w:t>clearing participant fails to fulfill his margin call at a set date. During the stated additional session NCC carr</w:t>
      </w:r>
      <w:r>
        <w:rPr>
          <w:rFonts w:ascii="Times New Roman" w:hAnsi="Times New Roman" w:cs="Times New Roman"/>
          <w:sz w:val="24"/>
          <w:szCs w:val="24"/>
          <w:lang w:val="en-US"/>
        </w:rPr>
        <w:t xml:space="preserve">ies </w:t>
      </w:r>
      <w:r w:rsidRPr="0063061C">
        <w:rPr>
          <w:rFonts w:ascii="Times New Roman" w:hAnsi="Times New Roman" w:cs="Times New Roman"/>
          <w:sz w:val="24"/>
          <w:szCs w:val="24"/>
          <w:lang w:val="en-US"/>
        </w:rPr>
        <w:t xml:space="preserve">out buy-and-sell trades of foreign currency/ precious metals, including </w:t>
      </w:r>
      <w:r>
        <w:rPr>
          <w:rFonts w:ascii="Times New Roman" w:hAnsi="Times New Roman" w:cs="Times New Roman"/>
          <w:sz w:val="24"/>
          <w:szCs w:val="24"/>
          <w:lang w:val="en-US"/>
        </w:rPr>
        <w:t>swap</w:t>
      </w:r>
      <w:r w:rsidRPr="0063061C">
        <w:rPr>
          <w:rFonts w:ascii="Times New Roman" w:hAnsi="Times New Roman" w:cs="Times New Roman"/>
          <w:sz w:val="24"/>
          <w:szCs w:val="24"/>
          <w:lang w:val="en-US"/>
        </w:rPr>
        <w:t xml:space="preserve"> trades</w:t>
      </w:r>
      <w:r w:rsidRPr="009B281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with the </w:t>
      </w:r>
      <w:r w:rsidRPr="0063061C">
        <w:rPr>
          <w:rFonts w:ascii="Times New Roman" w:hAnsi="Times New Roman" w:cs="Times New Roman"/>
          <w:sz w:val="24"/>
          <w:szCs w:val="24"/>
          <w:lang w:val="en-US"/>
        </w:rPr>
        <w:t>defaulting clearing member. The terms of these trades are set by NCC in a way ensur</w:t>
      </w:r>
      <w:r>
        <w:rPr>
          <w:rFonts w:ascii="Times New Roman" w:hAnsi="Times New Roman" w:cs="Times New Roman"/>
          <w:sz w:val="24"/>
          <w:szCs w:val="24"/>
          <w:lang w:val="en-US"/>
        </w:rPr>
        <w:t>ing</w:t>
      </w:r>
      <w:r w:rsidRPr="0063061C">
        <w:rPr>
          <w:rFonts w:ascii="Times New Roman" w:hAnsi="Times New Roman" w:cs="Times New Roman"/>
          <w:sz w:val="24"/>
          <w:szCs w:val="24"/>
          <w:lang w:val="en-US"/>
        </w:rPr>
        <w:t xml:space="preserve"> that they</w:t>
      </w:r>
      <w:r>
        <w:rPr>
          <w:rFonts w:ascii="Times New Roman" w:hAnsi="Times New Roman" w:cs="Times New Roman"/>
          <w:sz w:val="24"/>
          <w:szCs w:val="24"/>
          <w:lang w:val="en-US"/>
        </w:rPr>
        <w:t xml:space="preserve"> will</w:t>
      </w:r>
      <w:r w:rsidRPr="0063061C">
        <w:rPr>
          <w:rFonts w:ascii="Times New Roman" w:hAnsi="Times New Roman" w:cs="Times New Roman"/>
          <w:sz w:val="24"/>
          <w:szCs w:val="24"/>
          <w:lang w:val="en-US"/>
        </w:rPr>
        <w:t xml:space="preserve"> result in the increase of </w:t>
      </w:r>
      <w:r>
        <w:rPr>
          <w:rFonts w:ascii="Times New Roman" w:hAnsi="Times New Roman" w:cs="Times New Roman"/>
          <w:sz w:val="24"/>
          <w:szCs w:val="24"/>
          <w:lang w:val="en-US"/>
        </w:rPr>
        <w:t>a single</w:t>
      </w:r>
      <w:r w:rsidRPr="0063061C">
        <w:rPr>
          <w:rFonts w:ascii="Times New Roman" w:hAnsi="Times New Roman" w:cs="Times New Roman"/>
          <w:sz w:val="24"/>
          <w:szCs w:val="24"/>
          <w:lang w:val="en-US"/>
        </w:rPr>
        <w:t xml:space="preserve"> limit of the given clearing participant (value calculated by NCC in </w:t>
      </w:r>
      <w:proofErr w:type="spellStart"/>
      <w:r w:rsidRPr="0063061C">
        <w:rPr>
          <w:rFonts w:ascii="Times New Roman" w:hAnsi="Times New Roman" w:cs="Times New Roman"/>
          <w:sz w:val="24"/>
          <w:szCs w:val="24"/>
          <w:lang w:val="en-US"/>
        </w:rPr>
        <w:t>roubles</w:t>
      </w:r>
      <w:proofErr w:type="spellEnd"/>
      <w:r w:rsidRPr="0063061C">
        <w:rPr>
          <w:rFonts w:ascii="Times New Roman" w:hAnsi="Times New Roman" w:cs="Times New Roman"/>
          <w:sz w:val="24"/>
          <w:szCs w:val="24"/>
          <w:lang w:val="en-US"/>
        </w:rPr>
        <w:t xml:space="preserve"> for each clearing participant, limiting risks on trades with partial collateral).</w:t>
      </w:r>
    </w:p>
    <w:p w:rsidR="00D55472" w:rsidRPr="0063061C" w:rsidRDefault="00D55472" w:rsidP="00D55472">
      <w:pPr>
        <w:spacing w:after="120" w:line="240" w:lineRule="auto"/>
        <w:ind w:firstLine="567"/>
        <w:jc w:val="both"/>
        <w:rPr>
          <w:rFonts w:ascii="Times New Roman" w:hAnsi="Times New Roman" w:cs="Times New Roman"/>
          <w:sz w:val="24"/>
          <w:szCs w:val="24"/>
          <w:lang w:val="en-US"/>
        </w:rPr>
      </w:pPr>
      <w:r w:rsidRPr="0063061C">
        <w:rPr>
          <w:rFonts w:ascii="Times New Roman" w:hAnsi="Times New Roman" w:cs="Times New Roman"/>
          <w:sz w:val="24"/>
          <w:szCs w:val="24"/>
          <w:lang w:val="en-US"/>
        </w:rPr>
        <w:t>The additional session of type 2 (</w:t>
      </w:r>
      <w:r>
        <w:rPr>
          <w:rFonts w:ascii="Times New Roman" w:hAnsi="Times New Roman" w:cs="Times New Roman"/>
          <w:sz w:val="24"/>
          <w:szCs w:val="24"/>
          <w:lang w:val="en-US"/>
        </w:rPr>
        <w:t>swap</w:t>
      </w:r>
      <w:r w:rsidRPr="0063061C">
        <w:rPr>
          <w:rFonts w:ascii="Times New Roman" w:hAnsi="Times New Roman" w:cs="Times New Roman"/>
          <w:sz w:val="24"/>
          <w:szCs w:val="24"/>
          <w:lang w:val="en-US"/>
        </w:rPr>
        <w:t xml:space="preserve"> trades) is held with </w:t>
      </w:r>
      <w:r>
        <w:rPr>
          <w:rFonts w:ascii="Times New Roman" w:hAnsi="Times New Roman" w:cs="Times New Roman"/>
          <w:sz w:val="24"/>
          <w:szCs w:val="24"/>
          <w:lang w:val="en-US"/>
        </w:rPr>
        <w:t xml:space="preserve">a </w:t>
      </w:r>
      <w:r w:rsidRPr="0063061C">
        <w:rPr>
          <w:rFonts w:ascii="Times New Roman" w:hAnsi="Times New Roman" w:cs="Times New Roman"/>
          <w:sz w:val="24"/>
          <w:szCs w:val="24"/>
          <w:lang w:val="en-US"/>
        </w:rPr>
        <w:t>defaulting clearing member in cases of:</w:t>
      </w:r>
    </w:p>
    <w:p w:rsidR="00D55472" w:rsidRPr="0063061C" w:rsidRDefault="00D55472" w:rsidP="00472CA4">
      <w:pPr>
        <w:numPr>
          <w:ilvl w:val="0"/>
          <w:numId w:val="45"/>
        </w:numPr>
        <w:spacing w:after="120" w:line="240" w:lineRule="auto"/>
        <w:ind w:left="1417" w:hanging="567"/>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w:t>
      </w:r>
      <w:r w:rsidRPr="0063061C">
        <w:rPr>
          <w:rFonts w:ascii="Times New Roman" w:eastAsia="Calibri" w:hAnsi="Times New Roman" w:cs="Times New Roman"/>
          <w:sz w:val="24"/>
          <w:szCs w:val="24"/>
          <w:lang w:val="en-US"/>
        </w:rPr>
        <w:t xml:space="preserve">bligations </w:t>
      </w:r>
      <w:r>
        <w:rPr>
          <w:rFonts w:ascii="Times New Roman" w:eastAsia="Calibri" w:hAnsi="Times New Roman" w:cs="Times New Roman"/>
          <w:sz w:val="24"/>
          <w:szCs w:val="24"/>
          <w:lang w:val="en-US"/>
        </w:rPr>
        <w:t xml:space="preserve">are </w:t>
      </w:r>
      <w:r w:rsidRPr="0063061C">
        <w:rPr>
          <w:rFonts w:ascii="Times New Roman" w:eastAsia="Calibri" w:hAnsi="Times New Roman" w:cs="Times New Roman"/>
          <w:sz w:val="24"/>
          <w:szCs w:val="24"/>
          <w:lang w:val="en-US"/>
        </w:rPr>
        <w:t xml:space="preserve"> no</w:t>
      </w:r>
      <w:r>
        <w:rPr>
          <w:rFonts w:ascii="Times New Roman" w:eastAsia="Calibri" w:hAnsi="Times New Roman" w:cs="Times New Roman"/>
          <w:sz w:val="24"/>
          <w:szCs w:val="24"/>
          <w:lang w:val="en-US"/>
        </w:rPr>
        <w:t xml:space="preserve">t </w:t>
      </w:r>
      <w:r w:rsidRPr="0063061C">
        <w:rPr>
          <w:rFonts w:ascii="Times New Roman" w:eastAsia="Calibri" w:hAnsi="Times New Roman" w:cs="Times New Roman"/>
          <w:sz w:val="24"/>
          <w:szCs w:val="24"/>
          <w:lang w:val="en-US"/>
        </w:rPr>
        <w:t>fulfill</w:t>
      </w:r>
      <w:r>
        <w:rPr>
          <w:rFonts w:ascii="Times New Roman" w:eastAsia="Calibri" w:hAnsi="Times New Roman" w:cs="Times New Roman"/>
          <w:sz w:val="24"/>
          <w:szCs w:val="24"/>
          <w:lang w:val="en-US"/>
        </w:rPr>
        <w:t>ed</w:t>
      </w:r>
      <w:r w:rsidRPr="0063061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p</w:t>
      </w:r>
      <w:r w:rsidRPr="0063061C">
        <w:rPr>
          <w:rFonts w:ascii="Times New Roman" w:eastAsia="Calibri" w:hAnsi="Times New Roman" w:cs="Times New Roman"/>
          <w:sz w:val="24"/>
          <w:szCs w:val="24"/>
          <w:lang w:val="en-US"/>
        </w:rPr>
        <w:t>artial</w:t>
      </w:r>
      <w:r>
        <w:rPr>
          <w:rFonts w:ascii="Times New Roman" w:eastAsia="Calibri" w:hAnsi="Times New Roman" w:cs="Times New Roman"/>
          <w:sz w:val="24"/>
          <w:szCs w:val="24"/>
          <w:lang w:val="en-US"/>
        </w:rPr>
        <w:t>ly</w:t>
      </w:r>
      <w:r w:rsidRPr="0063061C">
        <w:rPr>
          <w:rFonts w:ascii="Times New Roman" w:eastAsia="Calibri" w:hAnsi="Times New Roman" w:cs="Times New Roman"/>
          <w:sz w:val="24"/>
          <w:szCs w:val="24"/>
          <w:lang w:val="en-US"/>
        </w:rPr>
        <w:t xml:space="preserve"> or complete</w:t>
      </w:r>
      <w:r>
        <w:rPr>
          <w:rFonts w:ascii="Times New Roman" w:eastAsia="Calibri" w:hAnsi="Times New Roman" w:cs="Times New Roman"/>
          <w:sz w:val="24"/>
          <w:szCs w:val="24"/>
          <w:lang w:val="en-US"/>
        </w:rPr>
        <w:t>ly</w:t>
      </w:r>
      <w:r w:rsidRPr="0063061C">
        <w:rPr>
          <w:rFonts w:ascii="Times New Roman" w:eastAsia="Calibri" w:hAnsi="Times New Roman" w:cs="Times New Roman"/>
          <w:sz w:val="24"/>
          <w:szCs w:val="24"/>
          <w:lang w:val="en-US"/>
        </w:rPr>
        <w:t xml:space="preserve"> by </w:t>
      </w:r>
      <w:r>
        <w:rPr>
          <w:rFonts w:ascii="Times New Roman" w:eastAsia="Calibri" w:hAnsi="Times New Roman" w:cs="Times New Roman"/>
          <w:sz w:val="24"/>
          <w:szCs w:val="24"/>
          <w:lang w:val="en-US"/>
        </w:rPr>
        <w:t xml:space="preserve">the </w:t>
      </w:r>
      <w:r w:rsidRPr="0063061C">
        <w:rPr>
          <w:rFonts w:ascii="Times New Roman" w:hAnsi="Times New Roman" w:cs="Times New Roman"/>
          <w:sz w:val="24"/>
          <w:szCs w:val="24"/>
          <w:lang w:val="en-US"/>
        </w:rPr>
        <w:t>clearing participant</w:t>
      </w:r>
      <w:r w:rsidRPr="0063061C">
        <w:rPr>
          <w:rFonts w:ascii="Times New Roman" w:eastAsia="Calibri" w:hAnsi="Times New Roman" w:cs="Times New Roman"/>
          <w:sz w:val="24"/>
          <w:szCs w:val="24"/>
          <w:lang w:val="en-US"/>
        </w:rPr>
        <w:t>;</w:t>
      </w:r>
    </w:p>
    <w:p w:rsidR="00D55472" w:rsidRPr="0063061C" w:rsidRDefault="00D55472" w:rsidP="00472CA4">
      <w:pPr>
        <w:numPr>
          <w:ilvl w:val="0"/>
          <w:numId w:val="45"/>
        </w:numPr>
        <w:spacing w:after="120" w:line="240" w:lineRule="auto"/>
        <w:ind w:left="1417" w:hanging="567"/>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Commissions or margins  are not paid</w:t>
      </w:r>
      <w:r w:rsidRPr="0077323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by a clearing participant by the time set  and the clearing participant posted collateral in foreign currencies/precious metals acceptable as collateral.</w:t>
      </w:r>
    </w:p>
    <w:p w:rsidR="00D55472" w:rsidRPr="0063061C" w:rsidRDefault="00D55472" w:rsidP="00D55472">
      <w:pPr>
        <w:spacing w:after="12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Swap</w:t>
      </w:r>
      <w:r w:rsidRPr="0063061C">
        <w:rPr>
          <w:rFonts w:ascii="Times New Roman" w:hAnsi="Times New Roman" w:cs="Times New Roman"/>
          <w:sz w:val="24"/>
          <w:szCs w:val="24"/>
          <w:lang w:val="en-US"/>
        </w:rPr>
        <w:t xml:space="preserve"> trades </w:t>
      </w:r>
      <w:r>
        <w:rPr>
          <w:rFonts w:ascii="Times New Roman" w:hAnsi="Times New Roman" w:cs="Times New Roman"/>
          <w:sz w:val="24"/>
          <w:szCs w:val="24"/>
          <w:lang w:val="en-US"/>
        </w:rPr>
        <w:t xml:space="preserve">rules </w:t>
      </w:r>
      <w:r w:rsidRPr="0063061C">
        <w:rPr>
          <w:rFonts w:ascii="Times New Roman" w:hAnsi="Times New Roman" w:cs="Times New Roman"/>
          <w:sz w:val="24"/>
          <w:szCs w:val="24"/>
          <w:lang w:val="en-US"/>
        </w:rPr>
        <w:t xml:space="preserve">are arranged by NCC so that </w:t>
      </w:r>
      <w:r>
        <w:rPr>
          <w:rFonts w:ascii="Times New Roman" w:hAnsi="Times New Roman" w:cs="Times New Roman"/>
          <w:sz w:val="24"/>
          <w:szCs w:val="24"/>
          <w:lang w:val="en-US"/>
        </w:rPr>
        <w:t xml:space="preserve">if the clearing participant has non-fulfilled liabilities </w:t>
      </w:r>
      <w:r w:rsidRPr="0063061C">
        <w:rPr>
          <w:rFonts w:ascii="Times New Roman" w:hAnsi="Times New Roman" w:cs="Times New Roman"/>
          <w:sz w:val="24"/>
          <w:szCs w:val="24"/>
          <w:lang w:val="en-US"/>
        </w:rPr>
        <w:t xml:space="preserve">on the first part of </w:t>
      </w:r>
      <w:r>
        <w:rPr>
          <w:rFonts w:ascii="Times New Roman" w:hAnsi="Times New Roman" w:cs="Times New Roman"/>
          <w:sz w:val="24"/>
          <w:szCs w:val="24"/>
          <w:lang w:val="en-US"/>
        </w:rPr>
        <w:t>swap</w:t>
      </w:r>
      <w:r w:rsidRPr="0063061C">
        <w:rPr>
          <w:rFonts w:ascii="Times New Roman" w:hAnsi="Times New Roman" w:cs="Times New Roman"/>
          <w:sz w:val="24"/>
          <w:szCs w:val="24"/>
          <w:lang w:val="en-US"/>
        </w:rPr>
        <w:t xml:space="preserve"> </w:t>
      </w:r>
      <w:r>
        <w:rPr>
          <w:rFonts w:ascii="Times New Roman" w:hAnsi="Times New Roman" w:cs="Times New Roman"/>
          <w:sz w:val="24"/>
          <w:szCs w:val="24"/>
          <w:lang w:val="en-US"/>
        </w:rPr>
        <w:t>transaction, certain requirements will arise for this</w:t>
      </w:r>
      <w:r w:rsidRPr="0063061C">
        <w:rPr>
          <w:rFonts w:ascii="Times New Roman" w:hAnsi="Times New Roman" w:cs="Times New Roman"/>
          <w:sz w:val="24"/>
          <w:szCs w:val="24"/>
          <w:lang w:val="en-US"/>
        </w:rPr>
        <w:t xml:space="preserve"> participant opposite to the</w:t>
      </w:r>
      <w:r>
        <w:rPr>
          <w:rFonts w:ascii="Times New Roman" w:hAnsi="Times New Roman" w:cs="Times New Roman"/>
          <w:sz w:val="24"/>
          <w:szCs w:val="24"/>
          <w:lang w:val="en-US"/>
        </w:rPr>
        <w:t xml:space="preserve"> mentioned</w:t>
      </w:r>
      <w:r w:rsidRPr="0063061C">
        <w:rPr>
          <w:rFonts w:ascii="Times New Roman" w:hAnsi="Times New Roman" w:cs="Times New Roman"/>
          <w:sz w:val="24"/>
          <w:szCs w:val="24"/>
          <w:lang w:val="en-US"/>
        </w:rPr>
        <w:t xml:space="preserve"> non-fulfilled obligation</w:t>
      </w:r>
      <w:r>
        <w:rPr>
          <w:rFonts w:ascii="Times New Roman" w:hAnsi="Times New Roman" w:cs="Times New Roman"/>
          <w:sz w:val="24"/>
          <w:szCs w:val="24"/>
          <w:lang w:val="en-US"/>
        </w:rPr>
        <w:t>s</w:t>
      </w:r>
      <w:r w:rsidRPr="0063061C">
        <w:rPr>
          <w:rFonts w:ascii="Times New Roman" w:hAnsi="Times New Roman" w:cs="Times New Roman"/>
          <w:sz w:val="24"/>
          <w:szCs w:val="24"/>
          <w:lang w:val="en-US"/>
        </w:rPr>
        <w:t xml:space="preserve"> in the amount </w:t>
      </w:r>
      <w:r>
        <w:rPr>
          <w:rFonts w:ascii="Times New Roman" w:hAnsi="Times New Roman" w:cs="Times New Roman"/>
          <w:sz w:val="24"/>
          <w:szCs w:val="24"/>
          <w:lang w:val="en-US"/>
        </w:rPr>
        <w:t>not exceeding the</w:t>
      </w:r>
      <w:r w:rsidRPr="0063061C">
        <w:rPr>
          <w:rFonts w:ascii="Times New Roman" w:hAnsi="Times New Roman" w:cs="Times New Roman"/>
          <w:sz w:val="24"/>
          <w:szCs w:val="24"/>
          <w:lang w:val="en-US"/>
        </w:rPr>
        <w:t xml:space="preserve"> clearing participant’s collateral.</w:t>
      </w:r>
    </w:p>
    <w:p w:rsidR="00D55472" w:rsidRPr="0063061C" w:rsidRDefault="00D55472" w:rsidP="00D55472">
      <w:pPr>
        <w:spacing w:after="120" w:line="240" w:lineRule="auto"/>
        <w:ind w:firstLine="567"/>
        <w:jc w:val="both"/>
        <w:rPr>
          <w:rFonts w:ascii="Times New Roman" w:hAnsi="Times New Roman" w:cs="Times New Roman"/>
          <w:sz w:val="24"/>
          <w:szCs w:val="24"/>
          <w:lang w:val="en-US"/>
        </w:rPr>
      </w:pPr>
      <w:r w:rsidRPr="0063061C">
        <w:rPr>
          <w:rFonts w:ascii="Times New Roman" w:hAnsi="Times New Roman" w:cs="Times New Roman"/>
          <w:sz w:val="24"/>
          <w:szCs w:val="24"/>
          <w:lang w:val="en-US"/>
        </w:rPr>
        <w:t>The default</w:t>
      </w:r>
      <w:r>
        <w:rPr>
          <w:rFonts w:ascii="Times New Roman" w:hAnsi="Times New Roman" w:cs="Times New Roman"/>
          <w:sz w:val="24"/>
          <w:szCs w:val="24"/>
          <w:lang w:val="en-US"/>
        </w:rPr>
        <w:t>-</w:t>
      </w:r>
      <w:r w:rsidRPr="0063061C">
        <w:rPr>
          <w:rFonts w:ascii="Times New Roman" w:hAnsi="Times New Roman" w:cs="Times New Roman"/>
          <w:sz w:val="24"/>
          <w:szCs w:val="24"/>
          <w:lang w:val="en-US"/>
        </w:rPr>
        <w:t xml:space="preserve">management techniques on </w:t>
      </w:r>
      <w:r>
        <w:rPr>
          <w:rFonts w:ascii="Times New Roman" w:hAnsi="Times New Roman" w:cs="Times New Roman"/>
          <w:sz w:val="24"/>
          <w:szCs w:val="24"/>
          <w:lang w:val="en-US"/>
        </w:rPr>
        <w:t xml:space="preserve">the </w:t>
      </w:r>
      <w:r w:rsidRPr="0063061C">
        <w:rPr>
          <w:rFonts w:ascii="Times New Roman" w:hAnsi="Times New Roman" w:cs="Times New Roman"/>
          <w:sz w:val="24"/>
          <w:szCs w:val="24"/>
          <w:lang w:val="en-US"/>
        </w:rPr>
        <w:t>stock market</w:t>
      </w:r>
      <w:r>
        <w:rPr>
          <w:rFonts w:ascii="Times New Roman" w:hAnsi="Times New Roman" w:cs="Times New Roman"/>
          <w:sz w:val="24"/>
          <w:szCs w:val="24"/>
          <w:lang w:val="en-US"/>
        </w:rPr>
        <w:t xml:space="preserve"> connected with</w:t>
      </w:r>
      <w:r w:rsidRPr="0063061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Pr="0063061C">
        <w:rPr>
          <w:rFonts w:ascii="Times New Roman" w:hAnsi="Times New Roman" w:cs="Times New Roman"/>
          <w:sz w:val="24"/>
          <w:szCs w:val="24"/>
          <w:lang w:val="en-US"/>
        </w:rPr>
        <w:t xml:space="preserve">counterparty replacement are in general similar to those used on </w:t>
      </w:r>
      <w:r>
        <w:rPr>
          <w:rFonts w:ascii="Times New Roman" w:hAnsi="Times New Roman" w:cs="Times New Roman"/>
          <w:sz w:val="24"/>
          <w:szCs w:val="24"/>
          <w:lang w:val="en-US"/>
        </w:rPr>
        <w:t>the FX</w:t>
      </w:r>
      <w:r w:rsidRPr="0063061C">
        <w:rPr>
          <w:rFonts w:ascii="Times New Roman" w:hAnsi="Times New Roman" w:cs="Times New Roman"/>
          <w:sz w:val="24"/>
          <w:szCs w:val="24"/>
          <w:lang w:val="en-US"/>
        </w:rPr>
        <w:t xml:space="preserve"> market. In case of margin call nonfulfillment </w:t>
      </w:r>
      <w:r>
        <w:rPr>
          <w:rFonts w:ascii="Times New Roman" w:hAnsi="Times New Roman" w:cs="Times New Roman"/>
          <w:sz w:val="24"/>
          <w:szCs w:val="24"/>
          <w:lang w:val="en-US"/>
        </w:rPr>
        <w:t>in due time</w:t>
      </w:r>
      <w:r w:rsidRPr="0063061C">
        <w:rPr>
          <w:rFonts w:ascii="Times New Roman" w:hAnsi="Times New Roman" w:cs="Times New Roman"/>
          <w:sz w:val="24"/>
          <w:szCs w:val="24"/>
          <w:lang w:val="en-US"/>
        </w:rPr>
        <w:t xml:space="preserve">, NCC and </w:t>
      </w:r>
      <w:r>
        <w:rPr>
          <w:rFonts w:ascii="Times New Roman" w:hAnsi="Times New Roman" w:cs="Times New Roman"/>
          <w:sz w:val="24"/>
          <w:szCs w:val="24"/>
          <w:lang w:val="en-US"/>
        </w:rPr>
        <w:t xml:space="preserve">the </w:t>
      </w:r>
      <w:r w:rsidRPr="0063061C">
        <w:rPr>
          <w:rFonts w:ascii="Times New Roman" w:hAnsi="Times New Roman" w:cs="Times New Roman"/>
          <w:sz w:val="24"/>
          <w:szCs w:val="24"/>
          <w:lang w:val="en-US"/>
        </w:rPr>
        <w:t xml:space="preserve">defaulting clearing member can </w:t>
      </w:r>
      <w:r>
        <w:rPr>
          <w:rFonts w:ascii="Times New Roman" w:hAnsi="Times New Roman" w:cs="Times New Roman"/>
          <w:sz w:val="24"/>
          <w:szCs w:val="24"/>
          <w:lang w:val="en-US"/>
        </w:rPr>
        <w:t>conclude buy or sell trades of securities</w:t>
      </w:r>
      <w:r w:rsidRPr="0063061C">
        <w:rPr>
          <w:rFonts w:ascii="Times New Roman" w:hAnsi="Times New Roman" w:cs="Times New Roman"/>
          <w:sz w:val="24"/>
          <w:szCs w:val="24"/>
          <w:lang w:val="en-US"/>
        </w:rPr>
        <w:t xml:space="preserve">, </w:t>
      </w:r>
      <w:r>
        <w:rPr>
          <w:rFonts w:ascii="Times New Roman" w:hAnsi="Times New Roman" w:cs="Times New Roman"/>
          <w:sz w:val="24"/>
          <w:szCs w:val="24"/>
          <w:lang w:val="en-US"/>
        </w:rPr>
        <w:t>including REPO</w:t>
      </w:r>
      <w:r w:rsidRPr="0063061C">
        <w:rPr>
          <w:rFonts w:ascii="Times New Roman" w:hAnsi="Times New Roman" w:cs="Times New Roman"/>
          <w:sz w:val="24"/>
          <w:szCs w:val="24"/>
          <w:lang w:val="en-US"/>
        </w:rPr>
        <w:t xml:space="preserve"> trades. </w:t>
      </w:r>
      <w:r>
        <w:rPr>
          <w:rFonts w:ascii="Times New Roman" w:hAnsi="Times New Roman" w:cs="Times New Roman"/>
          <w:sz w:val="24"/>
          <w:szCs w:val="24"/>
          <w:lang w:val="en-US"/>
        </w:rPr>
        <w:t>The terms of t</w:t>
      </w:r>
      <w:r w:rsidRPr="0063061C">
        <w:rPr>
          <w:rFonts w:ascii="Times New Roman" w:hAnsi="Times New Roman" w:cs="Times New Roman"/>
          <w:sz w:val="24"/>
          <w:szCs w:val="24"/>
          <w:lang w:val="en-US"/>
        </w:rPr>
        <w:t>hese trades are arranged by NCC so that to ensure</w:t>
      </w:r>
      <w:r>
        <w:rPr>
          <w:rFonts w:ascii="Times New Roman" w:hAnsi="Times New Roman" w:cs="Times New Roman"/>
          <w:sz w:val="24"/>
          <w:szCs w:val="24"/>
          <w:lang w:val="en-US"/>
        </w:rPr>
        <w:t xml:space="preserve"> that</w:t>
      </w:r>
      <w:r w:rsidRPr="0063061C">
        <w:rPr>
          <w:rFonts w:ascii="Times New Roman" w:hAnsi="Times New Roman" w:cs="Times New Roman"/>
          <w:sz w:val="24"/>
          <w:szCs w:val="24"/>
          <w:lang w:val="en-US"/>
        </w:rPr>
        <w:t xml:space="preserve"> they result in the increase of </w:t>
      </w:r>
      <w:r>
        <w:rPr>
          <w:rFonts w:ascii="Times New Roman" w:hAnsi="Times New Roman" w:cs="Times New Roman"/>
          <w:sz w:val="24"/>
          <w:szCs w:val="24"/>
          <w:lang w:val="en-US"/>
        </w:rPr>
        <w:t>single</w:t>
      </w:r>
      <w:r w:rsidRPr="0063061C">
        <w:rPr>
          <w:rFonts w:ascii="Times New Roman" w:hAnsi="Times New Roman" w:cs="Times New Roman"/>
          <w:sz w:val="24"/>
          <w:szCs w:val="24"/>
          <w:lang w:val="en-US"/>
        </w:rPr>
        <w:t xml:space="preserve"> limit of the given clearing participant (value calculated by NCC in </w:t>
      </w:r>
      <w:proofErr w:type="spellStart"/>
      <w:r w:rsidRPr="0063061C">
        <w:rPr>
          <w:rFonts w:ascii="Times New Roman" w:hAnsi="Times New Roman" w:cs="Times New Roman"/>
          <w:sz w:val="24"/>
          <w:szCs w:val="24"/>
          <w:lang w:val="en-US"/>
        </w:rPr>
        <w:t>roubles</w:t>
      </w:r>
      <w:proofErr w:type="spellEnd"/>
      <w:r w:rsidRPr="0063061C">
        <w:rPr>
          <w:rFonts w:ascii="Times New Roman" w:hAnsi="Times New Roman" w:cs="Times New Roman"/>
          <w:sz w:val="24"/>
          <w:szCs w:val="24"/>
          <w:lang w:val="en-US"/>
        </w:rPr>
        <w:t xml:space="preserve"> for each clearing participant, limiting risks on trades with partial collateral). </w:t>
      </w:r>
    </w:p>
    <w:p w:rsidR="00D55472" w:rsidRPr="0063061C" w:rsidRDefault="00D55472" w:rsidP="00D55472">
      <w:pPr>
        <w:spacing w:after="120" w:line="240" w:lineRule="auto"/>
        <w:ind w:firstLine="567"/>
        <w:jc w:val="both"/>
        <w:rPr>
          <w:rFonts w:ascii="Times New Roman" w:hAnsi="Times New Roman" w:cs="Times New Roman"/>
          <w:sz w:val="24"/>
          <w:szCs w:val="24"/>
          <w:lang w:val="en-US"/>
        </w:rPr>
      </w:pPr>
      <w:r w:rsidRPr="0063061C">
        <w:rPr>
          <w:rFonts w:ascii="Times New Roman" w:hAnsi="Times New Roman" w:cs="Times New Roman"/>
          <w:sz w:val="24"/>
          <w:szCs w:val="24"/>
          <w:lang w:val="en-US"/>
        </w:rPr>
        <w:t xml:space="preserve">In case </w:t>
      </w:r>
      <w:r>
        <w:rPr>
          <w:rFonts w:ascii="Times New Roman" w:hAnsi="Times New Roman" w:cs="Times New Roman"/>
          <w:sz w:val="24"/>
          <w:szCs w:val="24"/>
          <w:lang w:val="en-US"/>
        </w:rPr>
        <w:t xml:space="preserve">a </w:t>
      </w:r>
      <w:r w:rsidRPr="0063061C">
        <w:rPr>
          <w:rFonts w:ascii="Times New Roman" w:hAnsi="Times New Roman" w:cs="Times New Roman"/>
          <w:sz w:val="24"/>
          <w:szCs w:val="24"/>
          <w:lang w:val="en-US"/>
        </w:rPr>
        <w:t>clearing participant</w:t>
      </w:r>
      <w:r w:rsidRPr="0063061C">
        <w:rPr>
          <w:rFonts w:ascii="Times New Roman" w:eastAsia="Calibri" w:hAnsi="Times New Roman" w:cs="Times New Roman"/>
          <w:sz w:val="24"/>
          <w:szCs w:val="24"/>
          <w:lang w:val="en-US"/>
        </w:rPr>
        <w:t xml:space="preserve"> partial</w:t>
      </w:r>
      <w:r>
        <w:rPr>
          <w:rFonts w:ascii="Times New Roman" w:eastAsia="Calibri" w:hAnsi="Times New Roman" w:cs="Times New Roman"/>
          <w:sz w:val="24"/>
          <w:szCs w:val="24"/>
          <w:lang w:val="en-US"/>
        </w:rPr>
        <w:t>ly</w:t>
      </w:r>
      <w:r w:rsidRPr="0063061C">
        <w:rPr>
          <w:rFonts w:ascii="Times New Roman" w:eastAsia="Calibri" w:hAnsi="Times New Roman" w:cs="Times New Roman"/>
          <w:sz w:val="24"/>
          <w:szCs w:val="24"/>
          <w:lang w:val="en-US"/>
        </w:rPr>
        <w:t xml:space="preserve"> or complete</w:t>
      </w:r>
      <w:r>
        <w:rPr>
          <w:rFonts w:ascii="Times New Roman" w:eastAsia="Calibri" w:hAnsi="Times New Roman" w:cs="Times New Roman"/>
          <w:sz w:val="24"/>
          <w:szCs w:val="24"/>
          <w:lang w:val="en-US"/>
        </w:rPr>
        <w:t xml:space="preserve">ly fails to </w:t>
      </w:r>
      <w:r w:rsidRPr="0063061C">
        <w:rPr>
          <w:rFonts w:ascii="Times New Roman" w:eastAsia="Calibri" w:hAnsi="Times New Roman" w:cs="Times New Roman"/>
          <w:sz w:val="24"/>
          <w:szCs w:val="24"/>
          <w:lang w:val="en-US"/>
        </w:rPr>
        <w:t xml:space="preserve">fulfill </w:t>
      </w:r>
      <w:r>
        <w:rPr>
          <w:rFonts w:ascii="Times New Roman" w:eastAsia="Calibri" w:hAnsi="Times New Roman" w:cs="Times New Roman"/>
          <w:sz w:val="24"/>
          <w:szCs w:val="24"/>
          <w:lang w:val="en-US"/>
        </w:rPr>
        <w:t>its</w:t>
      </w:r>
      <w:r w:rsidRPr="0063061C">
        <w:rPr>
          <w:rFonts w:ascii="Times New Roman" w:eastAsia="Calibri" w:hAnsi="Times New Roman" w:cs="Times New Roman"/>
          <w:sz w:val="24"/>
          <w:szCs w:val="24"/>
          <w:lang w:val="en-US"/>
        </w:rPr>
        <w:t xml:space="preserve"> obligations</w:t>
      </w:r>
      <w:r w:rsidRPr="0063061C">
        <w:rPr>
          <w:rFonts w:ascii="Times New Roman" w:hAnsi="Times New Roman" w:cs="Times New Roman"/>
          <w:sz w:val="24"/>
          <w:szCs w:val="24"/>
          <w:lang w:val="en-US"/>
        </w:rPr>
        <w:t xml:space="preserve">, NCC executes its obligations </w:t>
      </w:r>
      <w:r>
        <w:rPr>
          <w:rFonts w:ascii="Times New Roman" w:hAnsi="Times New Roman" w:cs="Times New Roman"/>
          <w:sz w:val="24"/>
          <w:szCs w:val="24"/>
          <w:lang w:val="en-US"/>
        </w:rPr>
        <w:t xml:space="preserve">in cash </w:t>
      </w:r>
      <w:r w:rsidRPr="0063061C">
        <w:rPr>
          <w:rFonts w:ascii="Times New Roman" w:hAnsi="Times New Roman" w:cs="Times New Roman"/>
          <w:sz w:val="24"/>
          <w:szCs w:val="24"/>
          <w:lang w:val="en-US"/>
        </w:rPr>
        <w:t xml:space="preserve">/ securities towards </w:t>
      </w:r>
      <w:r>
        <w:rPr>
          <w:rFonts w:ascii="Times New Roman" w:hAnsi="Times New Roman" w:cs="Times New Roman"/>
          <w:sz w:val="24"/>
          <w:szCs w:val="24"/>
          <w:lang w:val="en-US"/>
        </w:rPr>
        <w:t xml:space="preserve">a </w:t>
      </w:r>
      <w:r w:rsidRPr="0063061C">
        <w:rPr>
          <w:rFonts w:ascii="Times New Roman" w:hAnsi="Times New Roman" w:cs="Times New Roman"/>
          <w:sz w:val="24"/>
          <w:szCs w:val="24"/>
          <w:lang w:val="en-US"/>
        </w:rPr>
        <w:t xml:space="preserve">non-defaulting clearing member as follows: </w:t>
      </w:r>
    </w:p>
    <w:p w:rsidR="00D55472" w:rsidRPr="0063061C" w:rsidRDefault="00D55472" w:rsidP="00472CA4">
      <w:pPr>
        <w:numPr>
          <w:ilvl w:val="0"/>
          <w:numId w:val="46"/>
        </w:numPr>
        <w:spacing w:after="120" w:line="240" w:lineRule="auto"/>
        <w:ind w:left="1417" w:hanging="567"/>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Enters into</w:t>
      </w:r>
      <w:r w:rsidRPr="0063061C">
        <w:rPr>
          <w:rFonts w:ascii="Times New Roman" w:eastAsia="Calibri" w:hAnsi="Times New Roman" w:cs="Times New Roman"/>
          <w:sz w:val="24"/>
          <w:szCs w:val="24"/>
          <w:lang w:val="en-US"/>
        </w:rPr>
        <w:t xml:space="preserve"> direct/reverse </w:t>
      </w:r>
      <w:r>
        <w:rPr>
          <w:rFonts w:ascii="Times New Roman" w:eastAsia="Calibri" w:hAnsi="Times New Roman" w:cs="Times New Roman"/>
          <w:sz w:val="24"/>
          <w:szCs w:val="24"/>
          <w:lang w:val="en-US"/>
        </w:rPr>
        <w:t>REPO</w:t>
      </w:r>
      <w:r w:rsidRPr="0063061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agreement </w:t>
      </w:r>
      <w:r w:rsidRPr="0063061C">
        <w:rPr>
          <w:rFonts w:ascii="Times New Roman" w:eastAsia="Calibri" w:hAnsi="Times New Roman" w:cs="Times New Roman"/>
          <w:sz w:val="24"/>
          <w:szCs w:val="24"/>
          <w:lang w:val="en-US"/>
        </w:rPr>
        <w:t xml:space="preserve">(paired </w:t>
      </w:r>
      <w:r>
        <w:rPr>
          <w:rFonts w:ascii="Times New Roman" w:eastAsia="Calibri" w:hAnsi="Times New Roman" w:cs="Times New Roman"/>
          <w:sz w:val="24"/>
          <w:szCs w:val="24"/>
          <w:lang w:val="en-US"/>
        </w:rPr>
        <w:t xml:space="preserve">buy/sell </w:t>
      </w:r>
      <w:r w:rsidRPr="0063061C">
        <w:rPr>
          <w:rFonts w:ascii="Times New Roman" w:eastAsia="Calibri" w:hAnsi="Times New Roman" w:cs="Times New Roman"/>
          <w:sz w:val="24"/>
          <w:szCs w:val="24"/>
          <w:lang w:val="en-US"/>
        </w:rPr>
        <w:t>trades) with</w:t>
      </w:r>
      <w:r w:rsidRPr="0095362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w:t>
      </w:r>
      <w:r w:rsidRPr="0063061C">
        <w:rPr>
          <w:rFonts w:ascii="Times New Roman" w:eastAsia="Calibri" w:hAnsi="Times New Roman" w:cs="Times New Roman"/>
          <w:sz w:val="24"/>
          <w:szCs w:val="24"/>
          <w:lang w:val="en-US"/>
        </w:rPr>
        <w:t xml:space="preserve"> </w:t>
      </w:r>
      <w:r w:rsidRPr="0063061C">
        <w:rPr>
          <w:rFonts w:ascii="Times New Roman" w:hAnsi="Times New Roman" w:cs="Times New Roman"/>
          <w:sz w:val="24"/>
          <w:szCs w:val="24"/>
          <w:lang w:val="en-US"/>
        </w:rPr>
        <w:t xml:space="preserve">clearing participant </w:t>
      </w:r>
      <w:r w:rsidRPr="0063061C">
        <w:rPr>
          <w:rFonts w:ascii="Times New Roman" w:eastAsia="Calibri" w:hAnsi="Times New Roman" w:cs="Times New Roman"/>
          <w:sz w:val="24"/>
          <w:szCs w:val="24"/>
          <w:lang w:val="en-US"/>
        </w:rPr>
        <w:t>– donor;</w:t>
      </w:r>
    </w:p>
    <w:p w:rsidR="00D55472" w:rsidRPr="0063061C" w:rsidRDefault="00D55472" w:rsidP="00472CA4">
      <w:pPr>
        <w:numPr>
          <w:ilvl w:val="0"/>
          <w:numId w:val="46"/>
        </w:numPr>
        <w:spacing w:after="120" w:line="240" w:lineRule="auto"/>
        <w:ind w:left="1417" w:hanging="567"/>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Enters into</w:t>
      </w:r>
      <w:r w:rsidRPr="0063061C">
        <w:rPr>
          <w:rFonts w:ascii="Times New Roman" w:eastAsia="Calibri" w:hAnsi="Times New Roman" w:cs="Times New Roman"/>
          <w:sz w:val="24"/>
          <w:szCs w:val="24"/>
          <w:lang w:val="en-US"/>
        </w:rPr>
        <w:t xml:space="preserve"> direct/reverse </w:t>
      </w:r>
      <w:r>
        <w:rPr>
          <w:rFonts w:ascii="Times New Roman" w:eastAsia="Calibri" w:hAnsi="Times New Roman" w:cs="Times New Roman"/>
          <w:sz w:val="24"/>
          <w:szCs w:val="24"/>
          <w:lang w:val="en-US"/>
        </w:rPr>
        <w:t>REPO</w:t>
      </w:r>
      <w:r w:rsidRPr="0063061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agreement</w:t>
      </w:r>
      <w:r w:rsidRPr="0063061C">
        <w:rPr>
          <w:rFonts w:ascii="Times New Roman" w:eastAsia="Calibri" w:hAnsi="Times New Roman" w:cs="Times New Roman"/>
          <w:sz w:val="24"/>
          <w:szCs w:val="24"/>
          <w:lang w:val="en-US"/>
        </w:rPr>
        <w:t xml:space="preserve"> (paired</w:t>
      </w:r>
      <w:r>
        <w:rPr>
          <w:rFonts w:ascii="Times New Roman" w:eastAsia="Calibri" w:hAnsi="Times New Roman" w:cs="Times New Roman"/>
          <w:sz w:val="24"/>
          <w:szCs w:val="24"/>
          <w:lang w:val="en-US"/>
        </w:rPr>
        <w:t xml:space="preserve"> buy/sell</w:t>
      </w:r>
      <w:r w:rsidRPr="0063061C">
        <w:rPr>
          <w:rFonts w:ascii="Times New Roman" w:eastAsia="Calibri" w:hAnsi="Times New Roman" w:cs="Times New Roman"/>
          <w:sz w:val="24"/>
          <w:szCs w:val="24"/>
          <w:lang w:val="en-US"/>
        </w:rPr>
        <w:t xml:space="preserve"> trades) with </w:t>
      </w:r>
      <w:r w:rsidR="008E135F">
        <w:rPr>
          <w:rFonts w:ascii="Times New Roman" w:eastAsia="Calibri" w:hAnsi="Times New Roman" w:cs="Times New Roman"/>
          <w:sz w:val="24"/>
          <w:szCs w:val="24"/>
          <w:lang w:val="en-US"/>
        </w:rPr>
        <w:t xml:space="preserve">a </w:t>
      </w:r>
      <w:r w:rsidRPr="0063061C">
        <w:rPr>
          <w:rFonts w:ascii="Times New Roman" w:eastAsia="Calibri" w:hAnsi="Times New Roman" w:cs="Times New Roman"/>
          <w:sz w:val="24"/>
          <w:szCs w:val="24"/>
          <w:lang w:val="en-US"/>
        </w:rPr>
        <w:t xml:space="preserve">non-defaulting clearing member to </w:t>
      </w:r>
      <w:r>
        <w:rPr>
          <w:rFonts w:ascii="Times New Roman" w:eastAsia="Calibri" w:hAnsi="Times New Roman" w:cs="Times New Roman"/>
          <w:sz w:val="24"/>
          <w:szCs w:val="24"/>
          <w:lang w:val="en-US"/>
        </w:rPr>
        <w:t>roll-over</w:t>
      </w:r>
      <w:r w:rsidRPr="0063061C">
        <w:rPr>
          <w:rFonts w:ascii="Times New Roman" w:eastAsia="Calibri" w:hAnsi="Times New Roman" w:cs="Times New Roman"/>
          <w:sz w:val="24"/>
          <w:szCs w:val="24"/>
          <w:lang w:val="en-US"/>
        </w:rPr>
        <w:t xml:space="preserve"> the </w:t>
      </w:r>
      <w:r>
        <w:rPr>
          <w:rFonts w:ascii="Times New Roman" w:eastAsia="Calibri" w:hAnsi="Times New Roman" w:cs="Times New Roman"/>
          <w:sz w:val="24"/>
          <w:szCs w:val="24"/>
          <w:lang w:val="en-US"/>
        </w:rPr>
        <w:t>settlement</w:t>
      </w:r>
      <w:r w:rsidRPr="0063061C">
        <w:rPr>
          <w:rFonts w:ascii="Times New Roman" w:eastAsia="Calibri" w:hAnsi="Times New Roman" w:cs="Times New Roman"/>
          <w:sz w:val="24"/>
          <w:szCs w:val="24"/>
          <w:lang w:val="en-US"/>
        </w:rPr>
        <w:t xml:space="preserve"> date of obligations.</w:t>
      </w:r>
    </w:p>
    <w:p w:rsidR="00D55472" w:rsidRPr="0063061C" w:rsidRDefault="00D55472" w:rsidP="00D55472">
      <w:pPr>
        <w:spacing w:after="120" w:line="240" w:lineRule="auto"/>
        <w:ind w:firstLine="567"/>
        <w:jc w:val="both"/>
        <w:rPr>
          <w:rFonts w:ascii="Times New Roman" w:eastAsia="Times New Roman" w:hAnsi="Times New Roman" w:cs="Times New Roman"/>
          <w:sz w:val="24"/>
          <w:szCs w:val="24"/>
          <w:lang w:val="en-US" w:eastAsia="ru-RU"/>
        </w:rPr>
      </w:pPr>
      <w:r>
        <w:rPr>
          <w:rFonts w:ascii="Times New Roman" w:hAnsi="Times New Roman" w:cs="Times New Roman"/>
          <w:sz w:val="24"/>
          <w:szCs w:val="24"/>
          <w:lang w:val="en-US"/>
        </w:rPr>
        <w:t>The terms of REPO trades</w:t>
      </w:r>
      <w:r w:rsidRPr="0063061C">
        <w:rPr>
          <w:rFonts w:ascii="Times New Roman" w:hAnsi="Times New Roman" w:cs="Times New Roman"/>
          <w:sz w:val="24"/>
          <w:szCs w:val="24"/>
          <w:lang w:val="en-US"/>
        </w:rPr>
        <w:t xml:space="preserve"> are arranged by NCC so that</w:t>
      </w:r>
      <w:r>
        <w:rPr>
          <w:rFonts w:ascii="Times New Roman" w:hAnsi="Times New Roman" w:cs="Times New Roman"/>
          <w:sz w:val="24"/>
          <w:szCs w:val="24"/>
          <w:lang w:val="en-US"/>
        </w:rPr>
        <w:t xml:space="preserve"> if the clearing participant has non-fulfilled liabilities</w:t>
      </w:r>
      <w:r w:rsidRPr="0063061C">
        <w:rPr>
          <w:rFonts w:ascii="Times New Roman" w:hAnsi="Times New Roman" w:cs="Times New Roman"/>
          <w:sz w:val="24"/>
          <w:szCs w:val="24"/>
          <w:lang w:val="en-US"/>
        </w:rPr>
        <w:t xml:space="preserve"> on </w:t>
      </w:r>
      <w:r>
        <w:rPr>
          <w:rFonts w:ascii="Times New Roman" w:hAnsi="Times New Roman" w:cs="Times New Roman"/>
          <w:sz w:val="24"/>
          <w:szCs w:val="24"/>
          <w:lang w:val="en-US"/>
        </w:rPr>
        <w:t xml:space="preserve">the </w:t>
      </w:r>
      <w:r w:rsidRPr="0063061C">
        <w:rPr>
          <w:rFonts w:ascii="Times New Roman" w:hAnsi="Times New Roman" w:cs="Times New Roman"/>
          <w:sz w:val="24"/>
          <w:szCs w:val="24"/>
          <w:lang w:val="en-US"/>
        </w:rPr>
        <w:t xml:space="preserve">first </w:t>
      </w:r>
      <w:r>
        <w:rPr>
          <w:rFonts w:ascii="Times New Roman" w:hAnsi="Times New Roman" w:cs="Times New Roman"/>
          <w:sz w:val="24"/>
          <w:szCs w:val="24"/>
          <w:lang w:val="en-US"/>
        </w:rPr>
        <w:t>leg,</w:t>
      </w:r>
      <w:r w:rsidRPr="0063061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certain requirements will arise for this </w:t>
      </w:r>
      <w:r w:rsidRPr="0063061C">
        <w:rPr>
          <w:rFonts w:ascii="Times New Roman" w:hAnsi="Times New Roman" w:cs="Times New Roman"/>
          <w:sz w:val="24"/>
          <w:szCs w:val="24"/>
          <w:lang w:val="en-US"/>
        </w:rPr>
        <w:t xml:space="preserve"> participant  opposite to the non-fulfilled obligations in the amount </w:t>
      </w:r>
      <w:r>
        <w:rPr>
          <w:rFonts w:ascii="Times New Roman" w:hAnsi="Times New Roman" w:cs="Times New Roman"/>
          <w:sz w:val="24"/>
          <w:szCs w:val="24"/>
          <w:lang w:val="en-US"/>
        </w:rPr>
        <w:t xml:space="preserve">not </w:t>
      </w:r>
      <w:r w:rsidRPr="008E135F">
        <w:rPr>
          <w:rFonts w:ascii="Times New Roman" w:hAnsi="Times New Roman" w:cs="Times New Roman"/>
          <w:sz w:val="24"/>
          <w:szCs w:val="24"/>
          <w:lang w:val="en-US"/>
        </w:rPr>
        <w:t xml:space="preserve">exceeding  </w:t>
      </w:r>
      <w:r>
        <w:rPr>
          <w:rFonts w:ascii="Times New Roman" w:hAnsi="Times New Roman" w:cs="Times New Roman"/>
          <w:sz w:val="24"/>
          <w:szCs w:val="24"/>
          <w:lang w:val="en-US"/>
        </w:rPr>
        <w:t xml:space="preserve">the </w:t>
      </w:r>
      <w:r w:rsidRPr="0063061C">
        <w:rPr>
          <w:rFonts w:ascii="Times New Roman" w:hAnsi="Times New Roman" w:cs="Times New Roman"/>
          <w:sz w:val="24"/>
          <w:szCs w:val="24"/>
          <w:lang w:val="en-US"/>
        </w:rPr>
        <w:t>clearing participant’s collateral</w:t>
      </w:r>
      <w:r>
        <w:rPr>
          <w:rFonts w:ascii="Times New Roman" w:hAnsi="Times New Roman" w:cs="Times New Roman"/>
          <w:sz w:val="24"/>
          <w:szCs w:val="24"/>
          <w:lang w:val="en-US"/>
        </w:rPr>
        <w:t xml:space="preserve"> </w:t>
      </w:r>
      <w:r w:rsidRPr="0063061C">
        <w:rPr>
          <w:rFonts w:ascii="Times New Roman" w:hAnsi="Times New Roman" w:cs="Times New Roman"/>
          <w:sz w:val="24"/>
          <w:szCs w:val="24"/>
          <w:lang w:val="en-US"/>
        </w:rPr>
        <w:t>.</w:t>
      </w:r>
      <w:r w:rsidRPr="001A7969">
        <w:rPr>
          <w:rFonts w:ascii="Times New Roman" w:hAnsi="Times New Roman" w:cs="Times New Roman"/>
          <w:sz w:val="24"/>
          <w:szCs w:val="24"/>
          <w:lang w:val="en-US"/>
        </w:rPr>
        <w:t xml:space="preserve"> </w:t>
      </w:r>
    </w:p>
    <w:p w:rsidR="00D55472" w:rsidRPr="0063061C" w:rsidRDefault="00D55472" w:rsidP="00D55472">
      <w:pPr>
        <w:spacing w:after="120" w:line="240" w:lineRule="auto"/>
        <w:ind w:firstLine="567"/>
        <w:jc w:val="both"/>
        <w:rPr>
          <w:rFonts w:ascii="Times New Roman" w:eastAsia="Times New Roman" w:hAnsi="Times New Roman" w:cs="Times New Roman"/>
          <w:sz w:val="24"/>
          <w:szCs w:val="24"/>
          <w:lang w:val="en-US" w:eastAsia="ru-RU"/>
        </w:rPr>
      </w:pPr>
      <w:r w:rsidRPr="0063061C">
        <w:rPr>
          <w:rFonts w:ascii="Times New Roman" w:eastAsia="Times New Roman" w:hAnsi="Times New Roman" w:cs="Times New Roman"/>
          <w:sz w:val="24"/>
          <w:szCs w:val="24"/>
          <w:lang w:val="en-US" w:eastAsia="ru-RU"/>
        </w:rPr>
        <w:t xml:space="preserve">On </w:t>
      </w:r>
      <w:r>
        <w:rPr>
          <w:rFonts w:ascii="Times New Roman" w:eastAsia="Times New Roman" w:hAnsi="Times New Roman" w:cs="Times New Roman"/>
          <w:sz w:val="24"/>
          <w:szCs w:val="24"/>
          <w:lang w:val="en-US" w:eastAsia="ru-RU"/>
        </w:rPr>
        <w:t xml:space="preserve">the </w:t>
      </w:r>
      <w:r w:rsidRPr="0063061C">
        <w:rPr>
          <w:rFonts w:ascii="Times New Roman" w:eastAsia="Times New Roman" w:hAnsi="Times New Roman" w:cs="Times New Roman"/>
          <w:sz w:val="24"/>
          <w:szCs w:val="24"/>
          <w:lang w:val="en-US" w:eastAsia="ru-RU"/>
        </w:rPr>
        <w:t>derivatives market in case of nonfulfillment of margin call by</w:t>
      </w:r>
      <w:r w:rsidR="00C27710">
        <w:rPr>
          <w:rFonts w:ascii="Times New Roman" w:eastAsia="Times New Roman" w:hAnsi="Times New Roman" w:cs="Times New Roman"/>
          <w:sz w:val="24"/>
          <w:szCs w:val="24"/>
          <w:lang w:val="en-US" w:eastAsia="ru-RU"/>
        </w:rPr>
        <w:t xml:space="preserve"> a</w:t>
      </w:r>
      <w:r w:rsidRPr="0063061C">
        <w:rPr>
          <w:rFonts w:ascii="Times New Roman" w:eastAsia="Times New Roman" w:hAnsi="Times New Roman" w:cs="Times New Roman"/>
          <w:sz w:val="24"/>
          <w:szCs w:val="24"/>
          <w:lang w:val="en-US" w:eastAsia="ru-RU"/>
        </w:rPr>
        <w:t xml:space="preserve"> clearing participant </w:t>
      </w:r>
      <w:r>
        <w:rPr>
          <w:rFonts w:ascii="Times New Roman" w:eastAsia="Times New Roman" w:hAnsi="Times New Roman" w:cs="Times New Roman"/>
          <w:sz w:val="24"/>
          <w:szCs w:val="24"/>
          <w:lang w:val="en-US" w:eastAsia="ru-RU"/>
        </w:rPr>
        <w:t>by the date set</w:t>
      </w:r>
      <w:r w:rsidRPr="0063061C">
        <w:rPr>
          <w:rFonts w:ascii="Times New Roman" w:eastAsia="Times New Roman" w:hAnsi="Times New Roman" w:cs="Times New Roman"/>
          <w:sz w:val="24"/>
          <w:szCs w:val="24"/>
          <w:lang w:val="en-US" w:eastAsia="ru-RU"/>
        </w:rPr>
        <w:t>, NCC on behalf of</w:t>
      </w:r>
      <w:r>
        <w:rPr>
          <w:rFonts w:ascii="Times New Roman" w:eastAsia="Times New Roman" w:hAnsi="Times New Roman" w:cs="Times New Roman"/>
          <w:sz w:val="24"/>
          <w:szCs w:val="24"/>
          <w:lang w:val="en-US" w:eastAsia="ru-RU"/>
        </w:rPr>
        <w:t xml:space="preserve"> </w:t>
      </w:r>
      <w:r w:rsidR="00C27710">
        <w:rPr>
          <w:rFonts w:ascii="Times New Roman" w:eastAsia="Times New Roman" w:hAnsi="Times New Roman" w:cs="Times New Roman"/>
          <w:sz w:val="24"/>
          <w:szCs w:val="24"/>
          <w:lang w:val="en-US" w:eastAsia="ru-RU"/>
        </w:rPr>
        <w:t>an</w:t>
      </w:r>
      <w:r>
        <w:rPr>
          <w:rFonts w:ascii="Times New Roman" w:eastAsia="Times New Roman" w:hAnsi="Times New Roman" w:cs="Times New Roman"/>
          <w:sz w:val="24"/>
          <w:szCs w:val="24"/>
          <w:lang w:val="en-US" w:eastAsia="ru-RU"/>
        </w:rPr>
        <w:t xml:space="preserve"> unfair  </w:t>
      </w:r>
      <w:r w:rsidRPr="0063061C">
        <w:rPr>
          <w:rFonts w:ascii="Times New Roman" w:eastAsia="Times New Roman" w:hAnsi="Times New Roman" w:cs="Times New Roman"/>
          <w:sz w:val="24"/>
          <w:szCs w:val="24"/>
          <w:lang w:val="en-US" w:eastAsia="ru-RU"/>
        </w:rPr>
        <w:t xml:space="preserve"> clearing member can make </w:t>
      </w:r>
      <w:r>
        <w:rPr>
          <w:rFonts w:ascii="Times New Roman" w:eastAsia="Times New Roman" w:hAnsi="Times New Roman" w:cs="Times New Roman"/>
          <w:sz w:val="24"/>
          <w:szCs w:val="24"/>
          <w:lang w:val="en-US" w:eastAsia="ru-RU"/>
        </w:rPr>
        <w:t xml:space="preserve">transactions leading </w:t>
      </w:r>
      <w:r w:rsidRPr="0063061C">
        <w:rPr>
          <w:rFonts w:ascii="Times New Roman" w:eastAsia="Times New Roman" w:hAnsi="Times New Roman" w:cs="Times New Roman"/>
          <w:sz w:val="24"/>
          <w:szCs w:val="24"/>
          <w:lang w:val="en-US" w:eastAsia="ru-RU"/>
        </w:rPr>
        <w:t>to the margin call</w:t>
      </w:r>
      <w:r w:rsidRPr="0063061C" w:rsidDel="001A7969">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fulfillment</w:t>
      </w:r>
      <w:r w:rsidRPr="0063061C">
        <w:rPr>
          <w:rFonts w:ascii="Times New Roman" w:eastAsia="Times New Roman" w:hAnsi="Times New Roman" w:cs="Times New Roman"/>
          <w:sz w:val="24"/>
          <w:szCs w:val="24"/>
          <w:lang w:val="en-US" w:eastAsia="ru-RU"/>
        </w:rPr>
        <w:t xml:space="preserve">. If </w:t>
      </w:r>
      <w:r>
        <w:rPr>
          <w:rFonts w:ascii="Times New Roman" w:eastAsia="Times New Roman" w:hAnsi="Times New Roman" w:cs="Times New Roman"/>
          <w:sz w:val="24"/>
          <w:szCs w:val="24"/>
          <w:lang w:val="en-US" w:eastAsia="ru-RU"/>
        </w:rPr>
        <w:t>there is no possibility to make</w:t>
      </w:r>
      <w:r w:rsidRPr="0063061C">
        <w:rPr>
          <w:rFonts w:ascii="Times New Roman" w:eastAsia="Times New Roman" w:hAnsi="Times New Roman" w:cs="Times New Roman"/>
          <w:sz w:val="24"/>
          <w:szCs w:val="24"/>
          <w:lang w:val="en-US" w:eastAsia="ru-RU"/>
        </w:rPr>
        <w:t xml:space="preserve"> trades, NCC carries out </w:t>
      </w:r>
      <w:r>
        <w:rPr>
          <w:rFonts w:ascii="Times New Roman" w:eastAsia="Times New Roman" w:hAnsi="Times New Roman" w:cs="Times New Roman"/>
          <w:sz w:val="24"/>
          <w:szCs w:val="24"/>
          <w:lang w:val="en-US" w:eastAsia="ru-RU"/>
        </w:rPr>
        <w:t xml:space="preserve">compulsory </w:t>
      </w:r>
      <w:r w:rsidRPr="0063061C">
        <w:rPr>
          <w:rFonts w:ascii="Times New Roman" w:eastAsia="Times New Roman" w:hAnsi="Times New Roman" w:cs="Times New Roman"/>
          <w:sz w:val="24"/>
          <w:szCs w:val="24"/>
          <w:lang w:val="en-US" w:eastAsia="ru-RU"/>
        </w:rPr>
        <w:t xml:space="preserve">transfer of </w:t>
      </w:r>
      <w:r>
        <w:rPr>
          <w:rFonts w:ascii="Times New Roman" w:eastAsia="Times New Roman" w:hAnsi="Times New Roman" w:cs="Times New Roman"/>
          <w:sz w:val="24"/>
          <w:szCs w:val="24"/>
          <w:lang w:val="en-US" w:eastAsia="ru-RU"/>
        </w:rPr>
        <w:t xml:space="preserve">the </w:t>
      </w:r>
      <w:r w:rsidRPr="0063061C">
        <w:rPr>
          <w:rFonts w:ascii="Times New Roman" w:eastAsia="Times New Roman" w:hAnsi="Times New Roman" w:cs="Times New Roman"/>
          <w:sz w:val="24"/>
          <w:szCs w:val="24"/>
          <w:lang w:val="en-US" w:eastAsia="ru-RU"/>
        </w:rPr>
        <w:t>defaulting clearing member’s positions</w:t>
      </w:r>
      <w:r>
        <w:rPr>
          <w:rFonts w:ascii="Times New Roman" w:eastAsia="Times New Roman" w:hAnsi="Times New Roman" w:cs="Times New Roman"/>
          <w:sz w:val="24"/>
          <w:szCs w:val="24"/>
          <w:lang w:val="en-US" w:eastAsia="ru-RU"/>
        </w:rPr>
        <w:t xml:space="preserve"> to the non-defaulting ones</w:t>
      </w:r>
      <w:r w:rsidRPr="0063061C">
        <w:rPr>
          <w:rFonts w:ascii="Times New Roman" w:eastAsia="Times New Roman" w:hAnsi="Times New Roman" w:cs="Times New Roman"/>
          <w:sz w:val="24"/>
          <w:szCs w:val="24"/>
          <w:lang w:val="en-US" w:eastAsia="ru-RU"/>
        </w:rPr>
        <w:t xml:space="preserve"> at prices limiting NCC’s</w:t>
      </w:r>
      <w:r>
        <w:rPr>
          <w:rFonts w:ascii="Times New Roman" w:eastAsia="Times New Roman" w:hAnsi="Times New Roman" w:cs="Times New Roman"/>
          <w:sz w:val="24"/>
          <w:szCs w:val="24"/>
          <w:lang w:val="en-US" w:eastAsia="ru-RU"/>
        </w:rPr>
        <w:t xml:space="preserve"> losses</w:t>
      </w:r>
      <w:r w:rsidRPr="0063061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at the amount</w:t>
      </w:r>
      <w:r w:rsidRPr="0063061C">
        <w:rPr>
          <w:rFonts w:ascii="Times New Roman" w:eastAsia="Times New Roman" w:hAnsi="Times New Roman" w:cs="Times New Roman"/>
          <w:sz w:val="24"/>
          <w:szCs w:val="24"/>
          <w:lang w:val="en-US" w:eastAsia="ru-RU"/>
        </w:rPr>
        <w:t xml:space="preserve"> set in clearing rules.</w:t>
      </w:r>
    </w:p>
    <w:p w:rsidR="00D55472" w:rsidRPr="0063061C" w:rsidRDefault="00D55472" w:rsidP="00D55472">
      <w:pPr>
        <w:spacing w:after="120" w:line="240" w:lineRule="auto"/>
        <w:ind w:firstLine="567"/>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In</w:t>
      </w:r>
      <w:r w:rsidRPr="00F80FD3">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Standard section of </w:t>
      </w:r>
      <w:r w:rsidR="00C27710">
        <w:rPr>
          <w:rFonts w:ascii="Times New Roman" w:eastAsia="Times New Roman" w:hAnsi="Times New Roman" w:cs="Times New Roman"/>
          <w:sz w:val="24"/>
          <w:szCs w:val="24"/>
          <w:lang w:val="en-US" w:eastAsia="ru-RU"/>
        </w:rPr>
        <w:t xml:space="preserve">the </w:t>
      </w:r>
      <w:r>
        <w:rPr>
          <w:rFonts w:ascii="Times New Roman" w:eastAsia="Times New Roman" w:hAnsi="Times New Roman" w:cs="Times New Roman"/>
          <w:sz w:val="24"/>
          <w:szCs w:val="24"/>
          <w:lang w:val="en-US" w:eastAsia="ru-RU"/>
        </w:rPr>
        <w:t>stock market, i</w:t>
      </w:r>
      <w:r w:rsidRPr="0063061C">
        <w:rPr>
          <w:rFonts w:ascii="Times New Roman" w:eastAsia="Times New Roman" w:hAnsi="Times New Roman" w:cs="Times New Roman"/>
          <w:sz w:val="24"/>
          <w:szCs w:val="24"/>
          <w:lang w:val="en-US" w:eastAsia="ru-RU"/>
        </w:rPr>
        <w:t xml:space="preserve">n case </w:t>
      </w:r>
      <w:r w:rsidR="00C27710">
        <w:rPr>
          <w:rFonts w:ascii="Times New Roman" w:eastAsia="Times New Roman" w:hAnsi="Times New Roman" w:cs="Times New Roman"/>
          <w:sz w:val="24"/>
          <w:szCs w:val="24"/>
          <w:lang w:val="en-US" w:eastAsia="ru-RU"/>
        </w:rPr>
        <w:t>a</w:t>
      </w:r>
      <w:r>
        <w:rPr>
          <w:rFonts w:ascii="Times New Roman" w:eastAsia="Times New Roman" w:hAnsi="Times New Roman" w:cs="Times New Roman"/>
          <w:sz w:val="24"/>
          <w:szCs w:val="24"/>
          <w:lang w:val="en-US" w:eastAsia="ru-RU"/>
        </w:rPr>
        <w:t xml:space="preserve"> </w:t>
      </w:r>
      <w:r w:rsidRPr="0063061C">
        <w:rPr>
          <w:rFonts w:ascii="Times New Roman" w:hAnsi="Times New Roman" w:cs="Times New Roman"/>
          <w:sz w:val="24"/>
          <w:szCs w:val="24"/>
          <w:lang w:val="en-US"/>
        </w:rPr>
        <w:t xml:space="preserve">clearing participant fails to </w:t>
      </w:r>
      <w:r w:rsidRPr="0063061C">
        <w:rPr>
          <w:rFonts w:ascii="Times New Roman" w:eastAsia="Times New Roman" w:hAnsi="Times New Roman" w:cs="Times New Roman"/>
          <w:sz w:val="24"/>
          <w:szCs w:val="24"/>
          <w:lang w:val="en-US" w:eastAsia="ru-RU"/>
        </w:rPr>
        <w:t>fulfill</w:t>
      </w:r>
      <w:r>
        <w:rPr>
          <w:rFonts w:ascii="Times New Roman" w:eastAsia="Times New Roman" w:hAnsi="Times New Roman" w:cs="Times New Roman"/>
          <w:sz w:val="24"/>
          <w:szCs w:val="24"/>
          <w:lang w:val="en-US" w:eastAsia="ru-RU"/>
        </w:rPr>
        <w:t xml:space="preserve"> its</w:t>
      </w:r>
      <w:r w:rsidRPr="0063061C">
        <w:rPr>
          <w:rFonts w:ascii="Times New Roman" w:eastAsia="Times New Roman" w:hAnsi="Times New Roman" w:cs="Times New Roman"/>
          <w:sz w:val="24"/>
          <w:szCs w:val="24"/>
          <w:lang w:val="en-US" w:eastAsia="ru-RU"/>
        </w:rPr>
        <w:t xml:space="preserve"> </w:t>
      </w:r>
      <w:r w:rsidRPr="0063061C">
        <w:rPr>
          <w:rFonts w:ascii="Times New Roman" w:hAnsi="Times New Roman" w:cs="Times New Roman"/>
          <w:sz w:val="24"/>
          <w:szCs w:val="24"/>
          <w:lang w:val="en-US"/>
        </w:rPr>
        <w:t>obligation</w:t>
      </w:r>
      <w:r>
        <w:rPr>
          <w:rFonts w:ascii="Times New Roman" w:hAnsi="Times New Roman" w:cs="Times New Roman"/>
          <w:sz w:val="24"/>
          <w:szCs w:val="24"/>
          <w:lang w:val="en-US"/>
        </w:rPr>
        <w:t>s</w:t>
      </w:r>
      <w:r w:rsidRPr="0063061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in cash or </w:t>
      </w:r>
      <w:r w:rsidRPr="0063061C">
        <w:rPr>
          <w:rFonts w:ascii="Times New Roman" w:eastAsia="Times New Roman" w:hAnsi="Times New Roman" w:cs="Times New Roman"/>
          <w:sz w:val="24"/>
          <w:szCs w:val="24"/>
          <w:lang w:val="en-US" w:eastAsia="ru-RU"/>
        </w:rPr>
        <w:t>securities</w:t>
      </w:r>
      <w:r>
        <w:rPr>
          <w:rFonts w:ascii="Times New Roman" w:eastAsia="Times New Roman" w:hAnsi="Times New Roman" w:cs="Times New Roman"/>
          <w:sz w:val="24"/>
          <w:szCs w:val="24"/>
          <w:lang w:val="en-US" w:eastAsia="ru-RU"/>
        </w:rPr>
        <w:t xml:space="preserve"> delivery </w:t>
      </w:r>
      <w:r w:rsidRPr="0063061C">
        <w:rPr>
          <w:rFonts w:ascii="Times New Roman" w:eastAsia="Times New Roman" w:hAnsi="Times New Roman" w:cs="Times New Roman"/>
          <w:sz w:val="24"/>
          <w:szCs w:val="24"/>
          <w:lang w:val="en-US" w:eastAsia="ru-RU"/>
        </w:rPr>
        <w:t>at a set</w:t>
      </w:r>
      <w:r>
        <w:rPr>
          <w:rFonts w:ascii="Times New Roman" w:eastAsia="Times New Roman" w:hAnsi="Times New Roman" w:cs="Times New Roman"/>
          <w:sz w:val="24"/>
          <w:szCs w:val="24"/>
          <w:lang w:val="en-US" w:eastAsia="ru-RU"/>
        </w:rPr>
        <w:t>tlement</w:t>
      </w:r>
      <w:r w:rsidRPr="0063061C">
        <w:rPr>
          <w:rFonts w:ascii="Times New Roman" w:eastAsia="Times New Roman" w:hAnsi="Times New Roman" w:cs="Times New Roman"/>
          <w:sz w:val="24"/>
          <w:szCs w:val="24"/>
          <w:lang w:val="en-US" w:eastAsia="ru-RU"/>
        </w:rPr>
        <w:t xml:space="preserve"> date, NCC:</w:t>
      </w:r>
    </w:p>
    <w:p w:rsidR="00D55472" w:rsidRPr="0063061C" w:rsidRDefault="00D55472" w:rsidP="00472CA4">
      <w:pPr>
        <w:numPr>
          <w:ilvl w:val="0"/>
          <w:numId w:val="47"/>
        </w:numPr>
        <w:spacing w:after="120" w:line="240" w:lineRule="auto"/>
        <w:ind w:left="1417" w:hanging="567"/>
        <w:contextualSpacing/>
        <w:jc w:val="both"/>
        <w:rPr>
          <w:rFonts w:ascii="Times New Roman" w:eastAsia="Times New Roman" w:hAnsi="Times New Roman" w:cs="Times New Roman"/>
          <w:sz w:val="24"/>
          <w:szCs w:val="24"/>
          <w:lang w:val="en-US" w:eastAsia="ru-RU"/>
        </w:rPr>
      </w:pPr>
      <w:r>
        <w:rPr>
          <w:rFonts w:ascii="Times New Roman" w:eastAsia="Calibri" w:hAnsi="Times New Roman" w:cs="Times New Roman"/>
          <w:sz w:val="24"/>
          <w:szCs w:val="24"/>
          <w:lang w:val="en-US"/>
        </w:rPr>
        <w:t>Enters into</w:t>
      </w:r>
      <w:r w:rsidRPr="0063061C">
        <w:rPr>
          <w:rFonts w:ascii="Times New Roman" w:eastAsia="Calibri" w:hAnsi="Times New Roman" w:cs="Times New Roman"/>
          <w:sz w:val="24"/>
          <w:szCs w:val="24"/>
          <w:lang w:val="en-US"/>
        </w:rPr>
        <w:t xml:space="preserve"> direct/reverse </w:t>
      </w:r>
      <w:r>
        <w:rPr>
          <w:rFonts w:ascii="Times New Roman" w:eastAsia="Calibri" w:hAnsi="Times New Roman" w:cs="Times New Roman"/>
          <w:sz w:val="24"/>
          <w:szCs w:val="24"/>
          <w:lang w:val="en-US"/>
        </w:rPr>
        <w:t>REPO</w:t>
      </w:r>
      <w:r w:rsidRPr="0063061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agreement </w:t>
      </w:r>
      <w:r w:rsidRPr="0063061C">
        <w:rPr>
          <w:rFonts w:ascii="Times New Roman" w:eastAsia="Calibri" w:hAnsi="Times New Roman" w:cs="Times New Roman"/>
          <w:sz w:val="24"/>
          <w:szCs w:val="24"/>
          <w:lang w:val="en-US"/>
        </w:rPr>
        <w:t xml:space="preserve">(paired </w:t>
      </w:r>
      <w:r>
        <w:rPr>
          <w:rFonts w:ascii="Times New Roman" w:eastAsia="Calibri" w:hAnsi="Times New Roman" w:cs="Times New Roman"/>
          <w:sz w:val="24"/>
          <w:szCs w:val="24"/>
          <w:lang w:val="en-US"/>
        </w:rPr>
        <w:t xml:space="preserve">buy/sell </w:t>
      </w:r>
      <w:r w:rsidRPr="0063061C">
        <w:rPr>
          <w:rFonts w:ascii="Times New Roman" w:eastAsia="Calibri" w:hAnsi="Times New Roman" w:cs="Times New Roman"/>
          <w:sz w:val="24"/>
          <w:szCs w:val="24"/>
          <w:lang w:val="en-US"/>
        </w:rPr>
        <w:t xml:space="preserve">trades) with </w:t>
      </w:r>
      <w:r w:rsidR="00C27710">
        <w:rPr>
          <w:rFonts w:ascii="Times New Roman" w:eastAsia="Calibri" w:hAnsi="Times New Roman" w:cs="Times New Roman"/>
          <w:sz w:val="24"/>
          <w:szCs w:val="24"/>
          <w:lang w:val="en-US"/>
        </w:rPr>
        <w:t xml:space="preserve">a </w:t>
      </w:r>
      <w:r w:rsidRPr="0063061C">
        <w:rPr>
          <w:rFonts w:ascii="Times New Roman" w:hAnsi="Times New Roman" w:cs="Times New Roman"/>
          <w:sz w:val="24"/>
          <w:szCs w:val="24"/>
          <w:lang w:val="en-US"/>
        </w:rPr>
        <w:t xml:space="preserve">clearing participant </w:t>
      </w:r>
      <w:r w:rsidRPr="0063061C">
        <w:rPr>
          <w:rFonts w:ascii="Times New Roman" w:eastAsia="Calibri" w:hAnsi="Times New Roman" w:cs="Times New Roman"/>
          <w:sz w:val="24"/>
          <w:szCs w:val="24"/>
          <w:lang w:val="en-US"/>
        </w:rPr>
        <w:t>– donor</w:t>
      </w:r>
      <w:r w:rsidRPr="0063061C">
        <w:rPr>
          <w:rFonts w:ascii="Times New Roman" w:eastAsia="Times New Roman" w:hAnsi="Times New Roman" w:cs="Times New Roman"/>
          <w:sz w:val="24"/>
          <w:szCs w:val="24"/>
          <w:lang w:val="en-US" w:eastAsia="ru-RU"/>
        </w:rPr>
        <w:t>;</w:t>
      </w:r>
    </w:p>
    <w:p w:rsidR="00D55472" w:rsidRPr="0063061C" w:rsidRDefault="00D55472" w:rsidP="00472CA4">
      <w:pPr>
        <w:numPr>
          <w:ilvl w:val="0"/>
          <w:numId w:val="47"/>
        </w:numPr>
        <w:spacing w:after="120" w:line="240" w:lineRule="auto"/>
        <w:ind w:left="1417" w:hanging="567"/>
        <w:contextualSpacing/>
        <w:jc w:val="both"/>
        <w:rPr>
          <w:rFonts w:ascii="Times New Roman" w:eastAsia="Times New Roman" w:hAnsi="Times New Roman" w:cs="Times New Roman"/>
          <w:sz w:val="24"/>
          <w:szCs w:val="24"/>
          <w:lang w:val="en-US" w:eastAsia="ru-RU"/>
        </w:rPr>
      </w:pPr>
      <w:r>
        <w:rPr>
          <w:rFonts w:ascii="Times New Roman" w:eastAsia="Calibri" w:hAnsi="Times New Roman" w:cs="Times New Roman"/>
          <w:sz w:val="24"/>
          <w:szCs w:val="24"/>
          <w:lang w:val="en-US"/>
        </w:rPr>
        <w:t>Enters into</w:t>
      </w:r>
      <w:r w:rsidRPr="0063061C">
        <w:rPr>
          <w:rFonts w:ascii="Times New Roman" w:eastAsia="Calibri" w:hAnsi="Times New Roman" w:cs="Times New Roman"/>
          <w:sz w:val="24"/>
          <w:szCs w:val="24"/>
          <w:lang w:val="en-US"/>
        </w:rPr>
        <w:t xml:space="preserve"> direct/reverse </w:t>
      </w:r>
      <w:r>
        <w:rPr>
          <w:rFonts w:ascii="Times New Roman" w:eastAsia="Calibri" w:hAnsi="Times New Roman" w:cs="Times New Roman"/>
          <w:sz w:val="24"/>
          <w:szCs w:val="24"/>
          <w:lang w:val="en-US"/>
        </w:rPr>
        <w:t>REPO</w:t>
      </w:r>
      <w:r w:rsidRPr="0063061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agreement</w:t>
      </w:r>
      <w:r w:rsidRPr="0063061C">
        <w:rPr>
          <w:rFonts w:ascii="Times New Roman" w:eastAsia="Calibri" w:hAnsi="Times New Roman" w:cs="Times New Roman"/>
          <w:sz w:val="24"/>
          <w:szCs w:val="24"/>
          <w:lang w:val="en-US"/>
        </w:rPr>
        <w:t xml:space="preserve"> (paired</w:t>
      </w:r>
      <w:r>
        <w:rPr>
          <w:rFonts w:ascii="Times New Roman" w:eastAsia="Calibri" w:hAnsi="Times New Roman" w:cs="Times New Roman"/>
          <w:sz w:val="24"/>
          <w:szCs w:val="24"/>
          <w:lang w:val="en-US"/>
        </w:rPr>
        <w:t xml:space="preserve"> buy/sell</w:t>
      </w:r>
      <w:r w:rsidRPr="0063061C">
        <w:rPr>
          <w:rFonts w:ascii="Times New Roman" w:eastAsia="Calibri" w:hAnsi="Times New Roman" w:cs="Times New Roman"/>
          <w:sz w:val="24"/>
          <w:szCs w:val="24"/>
          <w:lang w:val="en-US"/>
        </w:rPr>
        <w:t xml:space="preserve"> trades) with</w:t>
      </w:r>
      <w:r w:rsidR="00C27710">
        <w:rPr>
          <w:rFonts w:ascii="Times New Roman" w:eastAsia="Calibri" w:hAnsi="Times New Roman" w:cs="Times New Roman"/>
          <w:sz w:val="24"/>
          <w:szCs w:val="24"/>
          <w:lang w:val="en-US"/>
        </w:rPr>
        <w:t xml:space="preserve"> a</w:t>
      </w:r>
      <w:r w:rsidRPr="0063061C">
        <w:rPr>
          <w:rFonts w:ascii="Times New Roman" w:eastAsia="Calibri" w:hAnsi="Times New Roman" w:cs="Times New Roman"/>
          <w:sz w:val="24"/>
          <w:szCs w:val="24"/>
          <w:lang w:val="en-US"/>
        </w:rPr>
        <w:t xml:space="preserve"> non-defaulting clearing member to </w:t>
      </w:r>
      <w:r>
        <w:rPr>
          <w:rFonts w:ascii="Times New Roman" w:eastAsia="Calibri" w:hAnsi="Times New Roman" w:cs="Times New Roman"/>
          <w:sz w:val="24"/>
          <w:szCs w:val="24"/>
          <w:lang w:val="en-US"/>
        </w:rPr>
        <w:t>move</w:t>
      </w:r>
      <w:r w:rsidRPr="0063061C">
        <w:rPr>
          <w:rFonts w:ascii="Times New Roman" w:eastAsia="Calibri" w:hAnsi="Times New Roman" w:cs="Times New Roman"/>
          <w:sz w:val="24"/>
          <w:szCs w:val="24"/>
          <w:lang w:val="en-US"/>
        </w:rPr>
        <w:t xml:space="preserve"> the due date of</w:t>
      </w:r>
      <w:r>
        <w:rPr>
          <w:rFonts w:ascii="Times New Roman" w:eastAsia="Calibri" w:hAnsi="Times New Roman" w:cs="Times New Roman"/>
          <w:sz w:val="24"/>
          <w:szCs w:val="24"/>
          <w:lang w:val="en-US"/>
        </w:rPr>
        <w:t xml:space="preserve"> the </w:t>
      </w:r>
      <w:r w:rsidRPr="0063061C">
        <w:rPr>
          <w:rFonts w:ascii="Times New Roman" w:eastAsia="Calibri" w:hAnsi="Times New Roman" w:cs="Times New Roman"/>
          <w:sz w:val="24"/>
          <w:szCs w:val="24"/>
          <w:lang w:val="en-US"/>
        </w:rPr>
        <w:t>fulfillment</w:t>
      </w:r>
      <w:r>
        <w:rPr>
          <w:rFonts w:ascii="Times New Roman" w:eastAsia="Calibri" w:hAnsi="Times New Roman" w:cs="Times New Roman"/>
          <w:sz w:val="24"/>
          <w:szCs w:val="24"/>
          <w:lang w:val="en-US"/>
        </w:rPr>
        <w:t xml:space="preserve"> of </w:t>
      </w:r>
      <w:r w:rsidRPr="0063061C">
        <w:rPr>
          <w:rFonts w:ascii="Times New Roman" w:eastAsia="Calibri" w:hAnsi="Times New Roman" w:cs="Times New Roman"/>
          <w:sz w:val="24"/>
          <w:szCs w:val="24"/>
          <w:lang w:val="en-US"/>
        </w:rPr>
        <w:t>obligations</w:t>
      </w:r>
      <w:r w:rsidRPr="0063061C">
        <w:rPr>
          <w:rFonts w:ascii="Times New Roman" w:eastAsia="Times New Roman" w:hAnsi="Times New Roman" w:cs="Times New Roman"/>
          <w:sz w:val="24"/>
          <w:szCs w:val="24"/>
          <w:lang w:val="en-US" w:eastAsia="ru-RU"/>
        </w:rPr>
        <w:t>.</w:t>
      </w:r>
    </w:p>
    <w:p w:rsidR="00D55472" w:rsidRPr="0063061C" w:rsidRDefault="00D55472" w:rsidP="00D55472">
      <w:pPr>
        <w:spacing w:after="120" w:line="240" w:lineRule="auto"/>
        <w:ind w:firstLine="567"/>
        <w:jc w:val="both"/>
        <w:rPr>
          <w:rFonts w:ascii="Times New Roman" w:eastAsia="Times New Roman" w:hAnsi="Times New Roman" w:cs="Times New Roman"/>
          <w:sz w:val="24"/>
          <w:szCs w:val="24"/>
          <w:lang w:val="en-US" w:eastAsia="ru-RU"/>
        </w:rPr>
      </w:pPr>
    </w:p>
    <w:p w:rsidR="00D55472" w:rsidRPr="0063061C" w:rsidRDefault="00D55472" w:rsidP="00D55472">
      <w:pPr>
        <w:spacing w:after="120" w:line="240" w:lineRule="auto"/>
        <w:ind w:firstLine="567"/>
        <w:jc w:val="both"/>
        <w:rPr>
          <w:rFonts w:ascii="Times New Roman" w:eastAsia="Times New Roman" w:hAnsi="Times New Roman" w:cs="Times New Roman"/>
          <w:sz w:val="24"/>
          <w:szCs w:val="24"/>
          <w:lang w:val="en-US" w:eastAsia="ru-RU"/>
        </w:rPr>
      </w:pPr>
      <w:r w:rsidRPr="0063061C">
        <w:rPr>
          <w:rFonts w:ascii="Times New Roman" w:eastAsia="Times New Roman" w:hAnsi="Times New Roman" w:cs="Times New Roman"/>
          <w:sz w:val="24"/>
          <w:szCs w:val="24"/>
          <w:lang w:val="en-US" w:eastAsia="ru-RU"/>
        </w:rPr>
        <w:t xml:space="preserve">On the standardized </w:t>
      </w:r>
      <w:r>
        <w:rPr>
          <w:rFonts w:ascii="Times New Roman" w:eastAsia="Times New Roman" w:hAnsi="Times New Roman" w:cs="Times New Roman"/>
          <w:sz w:val="24"/>
          <w:szCs w:val="24"/>
          <w:lang w:val="en-US" w:eastAsia="ru-RU"/>
        </w:rPr>
        <w:t>DI</w:t>
      </w:r>
      <w:r w:rsidRPr="0063061C">
        <w:rPr>
          <w:rFonts w:ascii="Times New Roman" w:eastAsia="Times New Roman" w:hAnsi="Times New Roman" w:cs="Times New Roman"/>
          <w:sz w:val="24"/>
          <w:szCs w:val="24"/>
          <w:lang w:val="en-US" w:eastAsia="ru-RU"/>
        </w:rPr>
        <w:t xml:space="preserve">  market</w:t>
      </w:r>
      <w:r>
        <w:rPr>
          <w:rFonts w:ascii="Times New Roman" w:eastAsia="Times New Roman" w:hAnsi="Times New Roman" w:cs="Times New Roman"/>
          <w:sz w:val="24"/>
          <w:szCs w:val="24"/>
          <w:lang w:val="en-US" w:eastAsia="ru-RU"/>
        </w:rPr>
        <w:t>,</w:t>
      </w:r>
      <w:r w:rsidRPr="0063061C">
        <w:rPr>
          <w:rFonts w:ascii="Times New Roman" w:hAnsi="Times New Roman" w:cs="Times New Roman"/>
          <w:sz w:val="24"/>
          <w:szCs w:val="24"/>
          <w:lang w:val="en-US"/>
        </w:rPr>
        <w:t xml:space="preserve"> </w:t>
      </w:r>
      <w:r w:rsidRPr="0063061C">
        <w:rPr>
          <w:rFonts w:ascii="Times New Roman" w:eastAsia="Times New Roman" w:hAnsi="Times New Roman" w:cs="Times New Roman"/>
          <w:sz w:val="24"/>
          <w:szCs w:val="24"/>
          <w:lang w:val="en-US" w:eastAsia="ru-RU"/>
        </w:rPr>
        <w:t xml:space="preserve">if </w:t>
      </w:r>
      <w:r w:rsidR="00C27710">
        <w:rPr>
          <w:rFonts w:ascii="Times New Roman" w:eastAsia="Times New Roman" w:hAnsi="Times New Roman" w:cs="Times New Roman"/>
          <w:sz w:val="24"/>
          <w:szCs w:val="24"/>
          <w:lang w:val="en-US" w:eastAsia="ru-RU"/>
        </w:rPr>
        <w:t>a</w:t>
      </w:r>
      <w:r>
        <w:rPr>
          <w:rFonts w:ascii="Times New Roman" w:eastAsia="Times New Roman" w:hAnsi="Times New Roman" w:cs="Times New Roman"/>
          <w:sz w:val="24"/>
          <w:szCs w:val="24"/>
          <w:lang w:val="en-US" w:eastAsia="ru-RU"/>
        </w:rPr>
        <w:t xml:space="preserve"> </w:t>
      </w:r>
      <w:r w:rsidRPr="0063061C">
        <w:rPr>
          <w:rFonts w:ascii="Times New Roman" w:hAnsi="Times New Roman" w:cs="Times New Roman"/>
          <w:sz w:val="24"/>
          <w:szCs w:val="24"/>
          <w:lang w:val="en-US"/>
        </w:rPr>
        <w:t xml:space="preserve">clearing participant fails to </w:t>
      </w:r>
      <w:r w:rsidRPr="0063061C">
        <w:rPr>
          <w:rFonts w:ascii="Times New Roman" w:eastAsia="Times New Roman" w:hAnsi="Times New Roman" w:cs="Times New Roman"/>
          <w:sz w:val="24"/>
          <w:szCs w:val="24"/>
          <w:lang w:val="en-US" w:eastAsia="ru-RU"/>
        </w:rPr>
        <w:t xml:space="preserve">fulfill his </w:t>
      </w:r>
      <w:r w:rsidRPr="0063061C">
        <w:rPr>
          <w:rFonts w:ascii="Times New Roman" w:hAnsi="Times New Roman" w:cs="Times New Roman"/>
          <w:sz w:val="24"/>
          <w:szCs w:val="24"/>
          <w:lang w:val="en-US"/>
        </w:rPr>
        <w:t>margin call</w:t>
      </w:r>
      <w:r w:rsidRPr="0063061C">
        <w:rPr>
          <w:rFonts w:ascii="Times New Roman" w:eastAsia="Times New Roman" w:hAnsi="Times New Roman" w:cs="Times New Roman"/>
          <w:sz w:val="24"/>
          <w:szCs w:val="24"/>
          <w:lang w:val="en-US" w:eastAsia="ru-RU"/>
        </w:rPr>
        <w:t xml:space="preserve"> at a set date, NCC on behalf of defaulting clearing member</w:t>
      </w:r>
      <w:r w:rsidRPr="0063061C">
        <w:rPr>
          <w:rFonts w:ascii="Times New Roman" w:hAnsi="Times New Roman" w:cs="Times New Roman"/>
          <w:sz w:val="24"/>
          <w:szCs w:val="24"/>
          <w:lang w:val="en-US"/>
        </w:rPr>
        <w:t xml:space="preserve"> </w:t>
      </w:r>
      <w:r w:rsidRPr="0063061C">
        <w:rPr>
          <w:rFonts w:ascii="Times New Roman" w:eastAsia="Times New Roman" w:hAnsi="Times New Roman" w:cs="Times New Roman"/>
          <w:sz w:val="24"/>
          <w:szCs w:val="24"/>
          <w:lang w:val="en-US" w:eastAsia="ru-RU"/>
        </w:rPr>
        <w:t>can make trades which:</w:t>
      </w:r>
    </w:p>
    <w:p w:rsidR="00D55472" w:rsidRPr="0063061C" w:rsidRDefault="00D55472" w:rsidP="00472CA4">
      <w:pPr>
        <w:numPr>
          <w:ilvl w:val="0"/>
          <w:numId w:val="48"/>
        </w:numPr>
        <w:spacing w:after="120" w:line="240" w:lineRule="auto"/>
        <w:ind w:left="1417" w:hanging="567"/>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Liquidate</w:t>
      </w:r>
      <w:r w:rsidR="00E45C6E">
        <w:rPr>
          <w:rFonts w:ascii="Times New Roman" w:eastAsia="Times New Roman" w:hAnsi="Times New Roman" w:cs="Times New Roman"/>
          <w:sz w:val="24"/>
          <w:szCs w:val="24"/>
          <w:lang w:val="en-US" w:eastAsia="ru-RU"/>
        </w:rPr>
        <w:t xml:space="preserve"> a</w:t>
      </w:r>
      <w:r w:rsidRPr="0063061C">
        <w:rPr>
          <w:rFonts w:ascii="Times New Roman" w:eastAsia="Times New Roman" w:hAnsi="Times New Roman" w:cs="Times New Roman"/>
          <w:sz w:val="24"/>
          <w:szCs w:val="24"/>
          <w:lang w:val="en-US" w:eastAsia="ru-RU"/>
        </w:rPr>
        <w:t xml:space="preserve"> defaulting clearing member</w:t>
      </w:r>
      <w:r>
        <w:rPr>
          <w:rFonts w:ascii="Times New Roman" w:eastAsia="Times New Roman" w:hAnsi="Times New Roman" w:cs="Times New Roman"/>
          <w:sz w:val="24"/>
          <w:szCs w:val="24"/>
          <w:lang w:val="en-US" w:eastAsia="ru-RU"/>
        </w:rPr>
        <w:t>’s</w:t>
      </w:r>
      <w:r w:rsidRPr="0063061C">
        <w:rPr>
          <w:rFonts w:ascii="Times New Roman" w:eastAsia="Times New Roman" w:hAnsi="Times New Roman" w:cs="Times New Roman"/>
          <w:sz w:val="24"/>
          <w:szCs w:val="24"/>
          <w:lang w:val="en-US" w:eastAsia="ru-RU"/>
        </w:rPr>
        <w:t xml:space="preserve"> positions;</w:t>
      </w:r>
    </w:p>
    <w:p w:rsidR="00D55472" w:rsidRPr="0063061C" w:rsidRDefault="00D55472" w:rsidP="00472CA4">
      <w:pPr>
        <w:numPr>
          <w:ilvl w:val="0"/>
          <w:numId w:val="48"/>
        </w:numPr>
        <w:spacing w:after="120" w:line="240" w:lineRule="auto"/>
        <w:ind w:left="1417" w:hanging="567"/>
        <w:contextualSpacing/>
        <w:jc w:val="both"/>
        <w:rPr>
          <w:rFonts w:ascii="Times New Roman" w:eastAsia="Times New Roman" w:hAnsi="Times New Roman" w:cs="Times New Roman"/>
          <w:sz w:val="24"/>
          <w:szCs w:val="24"/>
          <w:lang w:val="en-US" w:eastAsia="ru-RU"/>
        </w:rPr>
      </w:pPr>
      <w:r w:rsidRPr="0063061C">
        <w:rPr>
          <w:rFonts w:ascii="Times New Roman" w:eastAsia="Times New Roman" w:hAnsi="Times New Roman" w:cs="Times New Roman"/>
          <w:sz w:val="24"/>
          <w:szCs w:val="24"/>
          <w:lang w:val="en-US" w:eastAsia="ru-RU"/>
        </w:rPr>
        <w:t>Hedge NCC</w:t>
      </w:r>
      <w:r>
        <w:rPr>
          <w:rFonts w:ascii="Times New Roman" w:eastAsia="Times New Roman" w:hAnsi="Times New Roman" w:cs="Times New Roman"/>
          <w:sz w:val="24"/>
          <w:szCs w:val="24"/>
          <w:lang w:val="en-US" w:eastAsia="ru-RU"/>
        </w:rPr>
        <w:t>’s exposure</w:t>
      </w:r>
      <w:r w:rsidRPr="0063061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of unbalanced positions </w:t>
      </w:r>
      <w:r w:rsidRPr="0063061C">
        <w:rPr>
          <w:rFonts w:ascii="Times New Roman" w:eastAsia="Times New Roman" w:hAnsi="Times New Roman" w:cs="Times New Roman"/>
          <w:sz w:val="24"/>
          <w:szCs w:val="24"/>
          <w:lang w:val="en-US" w:eastAsia="ru-RU"/>
        </w:rPr>
        <w:t>result</w:t>
      </w:r>
      <w:r>
        <w:rPr>
          <w:rFonts w:ascii="Times New Roman" w:eastAsia="Times New Roman" w:hAnsi="Times New Roman" w:cs="Times New Roman"/>
          <w:sz w:val="24"/>
          <w:szCs w:val="24"/>
          <w:lang w:val="en-US" w:eastAsia="ru-RU"/>
        </w:rPr>
        <w:t>ing</w:t>
      </w:r>
      <w:r w:rsidRPr="0063061C">
        <w:rPr>
          <w:rFonts w:ascii="Times New Roman" w:eastAsia="Times New Roman" w:hAnsi="Times New Roman" w:cs="Times New Roman"/>
          <w:sz w:val="24"/>
          <w:szCs w:val="24"/>
          <w:lang w:val="en-US" w:eastAsia="ru-RU"/>
        </w:rPr>
        <w:t xml:space="preserve"> from </w:t>
      </w:r>
      <w:r w:rsidRPr="0063061C">
        <w:rPr>
          <w:rFonts w:ascii="Times New Roman" w:hAnsi="Times New Roman" w:cs="Times New Roman"/>
          <w:sz w:val="24"/>
          <w:szCs w:val="24"/>
          <w:lang w:val="en-US"/>
        </w:rPr>
        <w:t>nonfulfillment of obligations by</w:t>
      </w:r>
      <w:r w:rsidR="00E45C6E">
        <w:rPr>
          <w:rFonts w:ascii="Times New Roman" w:hAnsi="Times New Roman" w:cs="Times New Roman"/>
          <w:sz w:val="24"/>
          <w:szCs w:val="24"/>
          <w:lang w:val="en-US"/>
        </w:rPr>
        <w:t xml:space="preserve"> a</w:t>
      </w:r>
      <w:r w:rsidRPr="0063061C">
        <w:rPr>
          <w:rFonts w:ascii="Times New Roman" w:eastAsia="Times New Roman" w:hAnsi="Times New Roman" w:cs="Times New Roman"/>
          <w:sz w:val="24"/>
          <w:szCs w:val="24"/>
          <w:lang w:val="en-US" w:eastAsia="ru-RU"/>
        </w:rPr>
        <w:t xml:space="preserve"> defaulting clearing member.</w:t>
      </w:r>
    </w:p>
    <w:p w:rsidR="00D55472" w:rsidRPr="0063061C" w:rsidRDefault="00D55472" w:rsidP="00D55472">
      <w:pPr>
        <w:spacing w:after="120" w:line="240" w:lineRule="auto"/>
        <w:ind w:firstLine="567"/>
        <w:jc w:val="both"/>
        <w:rPr>
          <w:rFonts w:ascii="Times New Roman" w:eastAsia="Times New Roman" w:hAnsi="Times New Roman" w:cs="Times New Roman"/>
          <w:sz w:val="24"/>
          <w:szCs w:val="24"/>
          <w:lang w:val="en-US" w:eastAsia="ru-RU"/>
        </w:rPr>
      </w:pPr>
    </w:p>
    <w:p w:rsidR="00D55472" w:rsidRPr="0063061C" w:rsidRDefault="00D55472" w:rsidP="00D55472">
      <w:pPr>
        <w:spacing w:after="120" w:line="240" w:lineRule="auto"/>
        <w:ind w:firstLine="567"/>
        <w:jc w:val="both"/>
        <w:rPr>
          <w:rFonts w:ascii="Times New Roman" w:eastAsia="Times New Roman" w:hAnsi="Times New Roman" w:cs="Times New Roman"/>
          <w:sz w:val="24"/>
          <w:szCs w:val="24"/>
          <w:lang w:val="en-US" w:eastAsia="ru-RU"/>
        </w:rPr>
      </w:pPr>
      <w:r w:rsidRPr="0063061C">
        <w:rPr>
          <w:rFonts w:ascii="Times New Roman" w:eastAsia="Times New Roman" w:hAnsi="Times New Roman" w:cs="Times New Roman"/>
          <w:sz w:val="24"/>
          <w:szCs w:val="24"/>
          <w:lang w:val="en-US" w:eastAsia="ru-RU"/>
        </w:rPr>
        <w:t xml:space="preserve">If the positions cannot be fully </w:t>
      </w:r>
      <w:r>
        <w:rPr>
          <w:rFonts w:ascii="Times New Roman" w:eastAsia="Times New Roman" w:hAnsi="Times New Roman" w:cs="Times New Roman"/>
          <w:sz w:val="24"/>
          <w:szCs w:val="24"/>
          <w:lang w:val="en-US" w:eastAsia="ru-RU"/>
        </w:rPr>
        <w:t>liquidated</w:t>
      </w:r>
      <w:r w:rsidRPr="0063061C">
        <w:rPr>
          <w:rFonts w:ascii="Times New Roman" w:eastAsia="Times New Roman" w:hAnsi="Times New Roman" w:cs="Times New Roman"/>
          <w:sz w:val="24"/>
          <w:szCs w:val="24"/>
          <w:lang w:val="en-US" w:eastAsia="ru-RU"/>
        </w:rPr>
        <w:t xml:space="preserve">, NCC </w:t>
      </w:r>
      <w:r>
        <w:rPr>
          <w:rFonts w:ascii="Times New Roman" w:eastAsia="Times New Roman" w:hAnsi="Times New Roman" w:cs="Times New Roman"/>
          <w:sz w:val="24"/>
          <w:szCs w:val="24"/>
          <w:lang w:val="en-US" w:eastAsia="ru-RU"/>
        </w:rPr>
        <w:t>arranges</w:t>
      </w:r>
      <w:r w:rsidRPr="0063061C">
        <w:rPr>
          <w:rFonts w:ascii="Times New Roman" w:eastAsia="Times New Roman" w:hAnsi="Times New Roman" w:cs="Times New Roman"/>
          <w:sz w:val="24"/>
          <w:szCs w:val="24"/>
          <w:lang w:val="en-US" w:eastAsia="ru-RU"/>
        </w:rPr>
        <w:t xml:space="preserve"> an auction to sell re</w:t>
      </w:r>
      <w:r>
        <w:rPr>
          <w:rFonts w:ascii="Times New Roman" w:eastAsia="Times New Roman" w:hAnsi="Times New Roman" w:cs="Times New Roman"/>
          <w:sz w:val="24"/>
          <w:szCs w:val="24"/>
          <w:lang w:val="en-US" w:eastAsia="ru-RU"/>
        </w:rPr>
        <w:t>maining parts of the</w:t>
      </w:r>
      <w:r w:rsidRPr="0063061C">
        <w:rPr>
          <w:rFonts w:ascii="Times New Roman" w:eastAsia="Times New Roman" w:hAnsi="Times New Roman" w:cs="Times New Roman"/>
          <w:sz w:val="24"/>
          <w:szCs w:val="24"/>
          <w:lang w:val="en-US" w:eastAsia="ru-RU"/>
        </w:rPr>
        <w:t xml:space="preserve"> positions. In case the auction</w:t>
      </w:r>
      <w:r>
        <w:rPr>
          <w:rFonts w:ascii="Times New Roman" w:eastAsia="Times New Roman" w:hAnsi="Times New Roman" w:cs="Times New Roman"/>
          <w:sz w:val="24"/>
          <w:szCs w:val="24"/>
          <w:lang w:val="en-US" w:eastAsia="ru-RU"/>
        </w:rPr>
        <w:t xml:space="preserve"> is declared</w:t>
      </w:r>
      <w:r w:rsidRPr="0063061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void</w:t>
      </w:r>
      <w:r w:rsidRPr="0063061C">
        <w:rPr>
          <w:rFonts w:ascii="Times New Roman" w:eastAsia="Times New Roman" w:hAnsi="Times New Roman" w:cs="Times New Roman"/>
          <w:sz w:val="24"/>
          <w:szCs w:val="24"/>
          <w:lang w:val="en-US" w:eastAsia="ru-RU"/>
        </w:rPr>
        <w:t>, NCC transfer</w:t>
      </w:r>
      <w:r>
        <w:rPr>
          <w:rFonts w:ascii="Times New Roman" w:eastAsia="Times New Roman" w:hAnsi="Times New Roman" w:cs="Times New Roman"/>
          <w:sz w:val="24"/>
          <w:szCs w:val="24"/>
          <w:lang w:val="en-US" w:eastAsia="ru-RU"/>
        </w:rPr>
        <w:t>s</w:t>
      </w:r>
      <w:r w:rsidRPr="0063061C">
        <w:rPr>
          <w:rFonts w:ascii="Times New Roman" w:eastAsia="Times New Roman" w:hAnsi="Times New Roman" w:cs="Times New Roman"/>
          <w:sz w:val="24"/>
          <w:szCs w:val="24"/>
          <w:lang w:val="en-US" w:eastAsia="ru-RU"/>
        </w:rPr>
        <w:t xml:space="preserve"> </w:t>
      </w:r>
      <w:r w:rsidR="001E59E9">
        <w:rPr>
          <w:rFonts w:ascii="Times New Roman" w:eastAsia="Times New Roman" w:hAnsi="Times New Roman" w:cs="Times New Roman"/>
          <w:sz w:val="24"/>
          <w:szCs w:val="24"/>
          <w:lang w:val="en-US" w:eastAsia="ru-RU"/>
        </w:rPr>
        <w:t>the</w:t>
      </w:r>
      <w:r w:rsidRPr="0063061C">
        <w:rPr>
          <w:rFonts w:ascii="Times New Roman" w:eastAsia="Times New Roman" w:hAnsi="Times New Roman" w:cs="Times New Roman"/>
          <w:sz w:val="24"/>
          <w:szCs w:val="24"/>
          <w:lang w:val="en-US" w:eastAsia="ru-RU"/>
        </w:rPr>
        <w:t xml:space="preserve"> defaulting clearing member’s positions</w:t>
      </w:r>
      <w:r>
        <w:rPr>
          <w:rFonts w:ascii="Times New Roman" w:eastAsia="Times New Roman" w:hAnsi="Times New Roman" w:cs="Times New Roman"/>
          <w:sz w:val="24"/>
          <w:szCs w:val="24"/>
          <w:lang w:val="en-US" w:eastAsia="ru-RU"/>
        </w:rPr>
        <w:t xml:space="preserve"> to the non-defaulting ones</w:t>
      </w:r>
      <w:r w:rsidRPr="0063061C">
        <w:rPr>
          <w:rFonts w:ascii="Times New Roman" w:eastAsia="Times New Roman" w:hAnsi="Times New Roman" w:cs="Times New Roman"/>
          <w:sz w:val="24"/>
          <w:szCs w:val="24"/>
          <w:lang w:val="en-US" w:eastAsia="ru-RU"/>
        </w:rPr>
        <w:t xml:space="preserve"> at prices limiting NCC’s loss</w:t>
      </w:r>
      <w:r>
        <w:rPr>
          <w:rFonts w:ascii="Times New Roman" w:eastAsia="Times New Roman" w:hAnsi="Times New Roman" w:cs="Times New Roman"/>
          <w:sz w:val="24"/>
          <w:szCs w:val="24"/>
          <w:lang w:val="en-US" w:eastAsia="ru-RU"/>
        </w:rPr>
        <w:t>es</w:t>
      </w:r>
      <w:r w:rsidRPr="0063061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at the amount</w:t>
      </w:r>
      <w:r w:rsidRPr="0063061C">
        <w:rPr>
          <w:rFonts w:ascii="Times New Roman" w:eastAsia="Times New Roman" w:hAnsi="Times New Roman" w:cs="Times New Roman"/>
          <w:sz w:val="24"/>
          <w:szCs w:val="24"/>
          <w:lang w:val="en-US" w:eastAsia="ru-RU"/>
        </w:rPr>
        <w:t xml:space="preserve"> set in clearing rules.</w:t>
      </w:r>
    </w:p>
    <w:p w:rsidR="00D55472" w:rsidRPr="0063061C" w:rsidRDefault="00D55472" w:rsidP="00D55472">
      <w:pPr>
        <w:spacing w:before="100" w:after="120" w:line="240" w:lineRule="auto"/>
        <w:jc w:val="center"/>
        <w:rPr>
          <w:rFonts w:ascii="Times New Roman" w:eastAsia="Times New Roman" w:hAnsi="Times New Roman" w:cs="Times New Roman"/>
          <w:b/>
          <w:sz w:val="24"/>
          <w:szCs w:val="24"/>
          <w:lang w:val="en-US" w:eastAsia="ru-RU"/>
        </w:rPr>
      </w:pPr>
      <w:r w:rsidRPr="0063061C">
        <w:rPr>
          <w:rFonts w:ascii="Times New Roman" w:eastAsia="Times New Roman" w:hAnsi="Times New Roman" w:cs="Times New Roman"/>
          <w:b/>
          <w:sz w:val="24"/>
          <w:szCs w:val="24"/>
          <w:lang w:val="en-US" w:eastAsia="ru-RU"/>
        </w:rPr>
        <w:t>Monitoring of Clearing Participants</w:t>
      </w:r>
      <w:r>
        <w:rPr>
          <w:rFonts w:ascii="Times New Roman" w:eastAsia="Times New Roman" w:hAnsi="Times New Roman" w:cs="Times New Roman"/>
          <w:b/>
          <w:sz w:val="24"/>
          <w:szCs w:val="24"/>
          <w:lang w:val="en-US" w:eastAsia="ru-RU"/>
        </w:rPr>
        <w:t>’</w:t>
      </w:r>
      <w:r w:rsidRPr="0063061C">
        <w:rPr>
          <w:rFonts w:ascii="Times New Roman" w:eastAsia="Times New Roman" w:hAnsi="Times New Roman" w:cs="Times New Roman"/>
          <w:b/>
          <w:sz w:val="24"/>
          <w:szCs w:val="24"/>
          <w:lang w:val="en-US" w:eastAsia="ru-RU"/>
        </w:rPr>
        <w:t xml:space="preserve"> Financial Condition </w:t>
      </w:r>
    </w:p>
    <w:p w:rsidR="00D55472" w:rsidRPr="0063061C" w:rsidRDefault="00D55472" w:rsidP="00D55472">
      <w:pPr>
        <w:spacing w:after="120" w:line="240" w:lineRule="auto"/>
        <w:ind w:firstLine="567"/>
        <w:jc w:val="both"/>
        <w:rPr>
          <w:rFonts w:ascii="Times New Roman" w:eastAsia="Times New Roman" w:hAnsi="Times New Roman" w:cs="Times New Roman"/>
          <w:sz w:val="24"/>
          <w:szCs w:val="24"/>
          <w:lang w:val="en-US" w:eastAsia="ru-RU"/>
        </w:rPr>
      </w:pPr>
      <w:r w:rsidRPr="0063061C">
        <w:rPr>
          <w:rFonts w:ascii="Times New Roman" w:eastAsia="Times New Roman" w:hAnsi="Times New Roman" w:cs="Times New Roman"/>
          <w:sz w:val="24"/>
          <w:szCs w:val="24"/>
          <w:lang w:val="en-US" w:eastAsia="ru-RU"/>
        </w:rPr>
        <w:t>NCC uses internal rating</w:t>
      </w:r>
      <w:r w:rsidRPr="00953626">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system</w:t>
      </w:r>
      <w:r w:rsidRPr="0063061C">
        <w:rPr>
          <w:rFonts w:ascii="Times New Roman" w:eastAsia="Times New Roman" w:hAnsi="Times New Roman" w:cs="Times New Roman"/>
          <w:sz w:val="24"/>
          <w:szCs w:val="24"/>
          <w:lang w:val="en-US" w:eastAsia="ru-RU"/>
        </w:rPr>
        <w:t xml:space="preserve"> as an efficient instrument for monitoring financial condition of clearing participants and counterpart</w:t>
      </w:r>
      <w:r>
        <w:rPr>
          <w:rFonts w:ascii="Times New Roman" w:eastAsia="Times New Roman" w:hAnsi="Times New Roman" w:cs="Times New Roman"/>
          <w:sz w:val="24"/>
          <w:szCs w:val="24"/>
          <w:lang w:val="en-US" w:eastAsia="ru-RU"/>
        </w:rPr>
        <w:t>ie</w:t>
      </w:r>
      <w:r w:rsidRPr="0063061C">
        <w:rPr>
          <w:rFonts w:ascii="Times New Roman" w:eastAsia="Times New Roman" w:hAnsi="Times New Roman" w:cs="Times New Roman"/>
          <w:sz w:val="24"/>
          <w:szCs w:val="24"/>
          <w:lang w:val="en-US" w:eastAsia="ru-RU"/>
        </w:rPr>
        <w:t xml:space="preserve">s </w:t>
      </w:r>
      <w:r>
        <w:rPr>
          <w:rFonts w:ascii="Times New Roman" w:eastAsia="Times New Roman" w:hAnsi="Times New Roman" w:cs="Times New Roman"/>
          <w:sz w:val="24"/>
          <w:szCs w:val="24"/>
          <w:lang w:val="en-US" w:eastAsia="ru-RU"/>
        </w:rPr>
        <w:t>in</w:t>
      </w:r>
      <w:r w:rsidRPr="0063061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investment </w:t>
      </w:r>
      <w:r w:rsidRPr="0063061C">
        <w:rPr>
          <w:rFonts w:ascii="Times New Roman" w:eastAsia="Times New Roman" w:hAnsi="Times New Roman" w:cs="Times New Roman"/>
          <w:sz w:val="24"/>
          <w:szCs w:val="24"/>
          <w:lang w:val="en-US" w:eastAsia="ru-RU"/>
        </w:rPr>
        <w:t>activ</w:t>
      </w:r>
      <w:r>
        <w:rPr>
          <w:rFonts w:ascii="Times New Roman" w:eastAsia="Times New Roman" w:hAnsi="Times New Roman" w:cs="Times New Roman"/>
          <w:sz w:val="24"/>
          <w:szCs w:val="24"/>
          <w:lang w:val="en-US" w:eastAsia="ru-RU"/>
        </w:rPr>
        <w:t>ities</w:t>
      </w:r>
      <w:r w:rsidRPr="0063061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F</w:t>
      </w:r>
      <w:r w:rsidRPr="0063061C">
        <w:rPr>
          <w:rFonts w:ascii="Times New Roman" w:eastAsia="Times New Roman" w:hAnsi="Times New Roman" w:cs="Times New Roman"/>
          <w:sz w:val="24"/>
          <w:szCs w:val="24"/>
          <w:lang w:val="en-US" w:eastAsia="ru-RU"/>
        </w:rPr>
        <w:t xml:space="preserve">ormalized internal ratings </w:t>
      </w:r>
      <w:r>
        <w:rPr>
          <w:rFonts w:ascii="Times New Roman" w:eastAsia="Times New Roman" w:hAnsi="Times New Roman" w:cs="Times New Roman"/>
          <w:sz w:val="24"/>
          <w:szCs w:val="24"/>
          <w:lang w:val="en-US" w:eastAsia="ru-RU"/>
        </w:rPr>
        <w:t>are used to</w:t>
      </w:r>
      <w:r w:rsidRPr="0063061C">
        <w:rPr>
          <w:rFonts w:ascii="Times New Roman" w:eastAsia="Times New Roman" w:hAnsi="Times New Roman" w:cs="Times New Roman"/>
          <w:sz w:val="24"/>
          <w:szCs w:val="24"/>
          <w:lang w:val="en-US" w:eastAsia="ru-RU"/>
        </w:rPr>
        <w:t xml:space="preserve"> respon</w:t>
      </w:r>
      <w:r>
        <w:rPr>
          <w:rFonts w:ascii="Times New Roman" w:eastAsia="Times New Roman" w:hAnsi="Times New Roman" w:cs="Times New Roman"/>
          <w:sz w:val="24"/>
          <w:szCs w:val="24"/>
          <w:lang w:val="en-US" w:eastAsia="ru-RU"/>
        </w:rPr>
        <w:t xml:space="preserve">d </w:t>
      </w:r>
      <w:r w:rsidRPr="0063061C">
        <w:rPr>
          <w:rFonts w:ascii="Times New Roman" w:eastAsia="Times New Roman" w:hAnsi="Times New Roman" w:cs="Times New Roman"/>
          <w:sz w:val="24"/>
          <w:szCs w:val="24"/>
          <w:lang w:val="en-US" w:eastAsia="ru-RU"/>
        </w:rPr>
        <w:t>prompt</w:t>
      </w:r>
      <w:r>
        <w:rPr>
          <w:rFonts w:ascii="Times New Roman" w:eastAsia="Times New Roman" w:hAnsi="Times New Roman" w:cs="Times New Roman"/>
          <w:sz w:val="24"/>
          <w:szCs w:val="24"/>
          <w:lang w:val="en-US" w:eastAsia="ru-RU"/>
        </w:rPr>
        <w:t>ly if the financial condition of</w:t>
      </w:r>
      <w:r w:rsidRPr="0063061C">
        <w:rPr>
          <w:rFonts w:ascii="Times New Roman" w:eastAsia="Times New Roman" w:hAnsi="Times New Roman" w:cs="Times New Roman"/>
          <w:sz w:val="24"/>
          <w:szCs w:val="24"/>
          <w:lang w:val="en-US" w:eastAsia="ru-RU"/>
        </w:rPr>
        <w:t xml:space="preserve"> clearing participants and </w:t>
      </w:r>
      <w:r w:rsidR="00CE660D">
        <w:rPr>
          <w:rFonts w:ascii="Times New Roman" w:eastAsia="Times New Roman" w:hAnsi="Times New Roman" w:cs="Times New Roman"/>
          <w:sz w:val="24"/>
          <w:szCs w:val="24"/>
          <w:lang w:val="en-US" w:eastAsia="ru-RU"/>
        </w:rPr>
        <w:t xml:space="preserve"> </w:t>
      </w:r>
      <w:r w:rsidRPr="0063061C">
        <w:rPr>
          <w:rFonts w:ascii="Times New Roman" w:eastAsia="Times New Roman" w:hAnsi="Times New Roman" w:cs="Times New Roman"/>
          <w:sz w:val="24"/>
          <w:szCs w:val="24"/>
          <w:lang w:val="en-US" w:eastAsia="ru-RU"/>
        </w:rPr>
        <w:t>counterpart</w:t>
      </w:r>
      <w:r w:rsidR="00CE660D">
        <w:rPr>
          <w:rFonts w:ascii="Times New Roman" w:eastAsia="Times New Roman" w:hAnsi="Times New Roman" w:cs="Times New Roman"/>
          <w:sz w:val="24"/>
          <w:szCs w:val="24"/>
          <w:lang w:val="en-US" w:eastAsia="ru-RU"/>
        </w:rPr>
        <w:t xml:space="preserve">ies </w:t>
      </w:r>
      <w:r>
        <w:rPr>
          <w:rFonts w:ascii="Times New Roman" w:eastAsia="Times New Roman" w:hAnsi="Times New Roman" w:cs="Times New Roman"/>
          <w:sz w:val="24"/>
          <w:szCs w:val="24"/>
          <w:lang w:val="en-US" w:eastAsia="ru-RU"/>
        </w:rPr>
        <w:t>deteriorates</w:t>
      </w:r>
      <w:r w:rsidRPr="0063061C">
        <w:rPr>
          <w:rFonts w:ascii="Times New Roman" w:eastAsia="Times New Roman" w:hAnsi="Times New Roman" w:cs="Times New Roman"/>
          <w:sz w:val="24"/>
          <w:szCs w:val="24"/>
          <w:lang w:val="en-US" w:eastAsia="ru-RU"/>
        </w:rPr>
        <w:t xml:space="preserve">, as well as </w:t>
      </w:r>
      <w:r>
        <w:rPr>
          <w:rFonts w:ascii="Times New Roman" w:eastAsia="Times New Roman" w:hAnsi="Times New Roman" w:cs="Times New Roman"/>
          <w:sz w:val="24"/>
          <w:szCs w:val="24"/>
          <w:lang w:val="en-US" w:eastAsia="ru-RU"/>
        </w:rPr>
        <w:t xml:space="preserve">to </w:t>
      </w:r>
      <w:r w:rsidRPr="0063061C">
        <w:rPr>
          <w:rFonts w:ascii="Times New Roman" w:eastAsia="Times New Roman" w:hAnsi="Times New Roman" w:cs="Times New Roman"/>
          <w:sz w:val="24"/>
          <w:szCs w:val="24"/>
          <w:lang w:val="en-US" w:eastAsia="ru-RU"/>
        </w:rPr>
        <w:t xml:space="preserve">set limits for </w:t>
      </w:r>
      <w:r>
        <w:rPr>
          <w:rFonts w:ascii="Times New Roman" w:eastAsia="Times New Roman" w:hAnsi="Times New Roman" w:cs="Times New Roman"/>
          <w:sz w:val="24"/>
          <w:szCs w:val="24"/>
          <w:lang w:val="en-US" w:eastAsia="ru-RU"/>
        </w:rPr>
        <w:t>investment operations</w:t>
      </w:r>
      <w:r w:rsidRPr="0063061C">
        <w:rPr>
          <w:rFonts w:ascii="Times New Roman" w:eastAsia="Times New Roman" w:hAnsi="Times New Roman" w:cs="Times New Roman"/>
          <w:sz w:val="24"/>
          <w:szCs w:val="24"/>
          <w:lang w:val="en-US" w:eastAsia="ru-RU"/>
        </w:rPr>
        <w:t xml:space="preserve"> and</w:t>
      </w:r>
      <w:r>
        <w:rPr>
          <w:rFonts w:ascii="Times New Roman" w:eastAsia="Times New Roman" w:hAnsi="Times New Roman" w:cs="Times New Roman"/>
          <w:sz w:val="24"/>
          <w:szCs w:val="24"/>
          <w:lang w:val="en-US" w:eastAsia="ru-RU"/>
        </w:rPr>
        <w:t xml:space="preserve"> to create  </w:t>
      </w:r>
      <w:r w:rsidRPr="0063061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adequate  provisions </w:t>
      </w:r>
      <w:r w:rsidRPr="0063061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to cover</w:t>
      </w:r>
      <w:r w:rsidRPr="0063061C">
        <w:rPr>
          <w:rFonts w:ascii="Times New Roman" w:eastAsia="Times New Roman" w:hAnsi="Times New Roman" w:cs="Times New Roman"/>
          <w:sz w:val="24"/>
          <w:szCs w:val="24"/>
          <w:lang w:val="en-US" w:eastAsia="ru-RU"/>
        </w:rPr>
        <w:t xml:space="preserve"> possible losses</w:t>
      </w:r>
      <w:r>
        <w:rPr>
          <w:rFonts w:ascii="Times New Roman" w:eastAsia="Times New Roman" w:hAnsi="Times New Roman" w:cs="Times New Roman"/>
          <w:sz w:val="24"/>
          <w:szCs w:val="24"/>
          <w:lang w:val="en-US" w:eastAsia="ru-RU"/>
        </w:rPr>
        <w:t xml:space="preserve"> arisen </w:t>
      </w:r>
      <w:r w:rsidRPr="0063061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from</w:t>
      </w:r>
      <w:r w:rsidRPr="0063061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 risk-bearing transactions</w:t>
      </w:r>
      <w:r w:rsidRPr="0063061C">
        <w:rPr>
          <w:rFonts w:ascii="Times New Roman" w:eastAsia="Times New Roman" w:hAnsi="Times New Roman" w:cs="Times New Roman"/>
          <w:sz w:val="24"/>
          <w:szCs w:val="24"/>
          <w:lang w:val="en-US" w:eastAsia="ru-RU"/>
        </w:rPr>
        <w:t xml:space="preserve">. </w:t>
      </w:r>
    </w:p>
    <w:p w:rsidR="00D55472" w:rsidRPr="0063061C" w:rsidRDefault="00D55472" w:rsidP="00D55472">
      <w:pPr>
        <w:spacing w:after="120" w:line="240" w:lineRule="auto"/>
        <w:ind w:firstLine="567"/>
        <w:jc w:val="both"/>
        <w:rPr>
          <w:rFonts w:ascii="Times New Roman" w:eastAsia="Times New Roman" w:hAnsi="Times New Roman" w:cs="Times New Roman"/>
          <w:sz w:val="24"/>
          <w:szCs w:val="24"/>
          <w:lang w:val="en-US" w:eastAsia="ru-RU"/>
        </w:rPr>
      </w:pPr>
      <w:r w:rsidRPr="0063061C">
        <w:rPr>
          <w:rFonts w:ascii="Times New Roman" w:eastAsia="Times New Roman" w:hAnsi="Times New Roman" w:cs="Times New Roman"/>
          <w:sz w:val="24"/>
          <w:szCs w:val="24"/>
          <w:lang w:val="en-US" w:eastAsia="ru-RU"/>
        </w:rPr>
        <w:t>Internal rating</w:t>
      </w:r>
      <w:r>
        <w:rPr>
          <w:rFonts w:ascii="Times New Roman" w:eastAsia="Times New Roman" w:hAnsi="Times New Roman" w:cs="Times New Roman"/>
          <w:sz w:val="24"/>
          <w:szCs w:val="24"/>
          <w:lang w:val="en-US" w:eastAsia="ru-RU"/>
        </w:rPr>
        <w:t>s</w:t>
      </w:r>
      <w:r w:rsidRPr="0063061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are</w:t>
      </w:r>
      <w:r w:rsidRPr="0063061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calculated</w:t>
      </w:r>
      <w:r w:rsidRPr="0063061C">
        <w:rPr>
          <w:rFonts w:ascii="Times New Roman" w:eastAsia="Times New Roman" w:hAnsi="Times New Roman" w:cs="Times New Roman"/>
          <w:sz w:val="24"/>
          <w:szCs w:val="24"/>
          <w:lang w:val="en-US" w:eastAsia="ru-RU"/>
        </w:rPr>
        <w:t xml:space="preserve"> in accordance with </w:t>
      </w:r>
      <w:r>
        <w:rPr>
          <w:rFonts w:ascii="Times New Roman" w:eastAsia="Times New Roman" w:hAnsi="Times New Roman" w:cs="Times New Roman"/>
          <w:sz w:val="24"/>
          <w:szCs w:val="24"/>
          <w:lang w:val="en-US" w:eastAsia="ru-RU"/>
        </w:rPr>
        <w:t>the methodology developed by NCC</w:t>
      </w:r>
      <w:r w:rsidRPr="0063061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and including</w:t>
      </w:r>
      <w:r w:rsidRPr="0063061C">
        <w:rPr>
          <w:rFonts w:ascii="Times New Roman" w:eastAsia="Times New Roman" w:hAnsi="Times New Roman" w:cs="Times New Roman"/>
          <w:sz w:val="24"/>
          <w:szCs w:val="24"/>
          <w:lang w:val="en-US" w:eastAsia="ru-RU"/>
        </w:rPr>
        <w:t xml:space="preserve"> the following elements </w:t>
      </w:r>
      <w:r>
        <w:rPr>
          <w:rFonts w:ascii="Times New Roman" w:eastAsia="Times New Roman" w:hAnsi="Times New Roman" w:cs="Times New Roman"/>
          <w:sz w:val="24"/>
          <w:szCs w:val="24"/>
          <w:lang w:val="en-US" w:eastAsia="ru-RU"/>
        </w:rPr>
        <w:t>shown</w:t>
      </w:r>
      <w:r w:rsidRPr="0063061C">
        <w:rPr>
          <w:rFonts w:ascii="Times New Roman" w:eastAsia="Times New Roman" w:hAnsi="Times New Roman" w:cs="Times New Roman"/>
          <w:sz w:val="24"/>
          <w:szCs w:val="24"/>
          <w:lang w:val="en-US" w:eastAsia="ru-RU"/>
        </w:rPr>
        <w:t xml:space="preserve"> in the table: </w:t>
      </w:r>
    </w:p>
    <w:p w:rsidR="00D55472" w:rsidRPr="0063061C" w:rsidRDefault="00D55472" w:rsidP="00D55472">
      <w:pPr>
        <w:spacing w:after="120" w:line="240" w:lineRule="auto"/>
        <w:ind w:firstLine="567"/>
        <w:jc w:val="both"/>
        <w:rPr>
          <w:rFonts w:ascii="Times New Roman" w:eastAsia="Times New Roman" w:hAnsi="Times New Roman" w:cs="Times New Roman"/>
          <w:sz w:val="24"/>
          <w:szCs w:val="24"/>
          <w:lang w:val="en-US" w:eastAsia="ru-RU"/>
        </w:rPr>
      </w:pPr>
      <w:r w:rsidRPr="0063061C">
        <w:rPr>
          <w:rFonts w:ascii="Times New Roman" w:eastAsia="Times New Roman" w:hAnsi="Times New Roman" w:cs="Times New Roman"/>
          <w:noProof/>
          <w:sz w:val="24"/>
          <w:szCs w:val="24"/>
          <w:lang w:eastAsia="ru-RU"/>
        </w:rPr>
        <w:drawing>
          <wp:inline distT="0" distB="0" distL="0" distR="0" wp14:anchorId="2E7314DE" wp14:editId="0FF455E7">
            <wp:extent cx="5940425" cy="2428875"/>
            <wp:effectExtent l="0" t="0" r="317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2428875"/>
                    </a:xfrm>
                    <a:prstGeom prst="rect">
                      <a:avLst/>
                    </a:prstGeom>
                    <a:noFill/>
                    <a:ln>
                      <a:noFill/>
                    </a:ln>
                  </pic:spPr>
                </pic:pic>
              </a:graphicData>
            </a:graphic>
          </wp:inline>
        </w:drawing>
      </w:r>
    </w:p>
    <w:p w:rsidR="00D55472" w:rsidRPr="0063061C" w:rsidRDefault="00D55472" w:rsidP="00D55472">
      <w:pPr>
        <w:spacing w:after="120" w:line="240" w:lineRule="auto"/>
        <w:ind w:firstLine="567"/>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NCC in order to define an internal rating uses </w:t>
      </w:r>
      <w:r w:rsidRPr="0063061C">
        <w:rPr>
          <w:rFonts w:ascii="Times New Roman" w:eastAsia="Times New Roman" w:hAnsi="Times New Roman" w:cs="Times New Roman"/>
          <w:sz w:val="24"/>
          <w:szCs w:val="24"/>
          <w:lang w:val="en-US" w:eastAsia="ru-RU"/>
        </w:rPr>
        <w:t>financial report</w:t>
      </w:r>
      <w:r>
        <w:rPr>
          <w:rFonts w:ascii="Times New Roman" w:eastAsia="Times New Roman" w:hAnsi="Times New Roman" w:cs="Times New Roman"/>
          <w:sz w:val="24"/>
          <w:szCs w:val="24"/>
          <w:lang w:val="en-US" w:eastAsia="ru-RU"/>
        </w:rPr>
        <w:t>s</w:t>
      </w:r>
      <w:r w:rsidRPr="0063061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and </w:t>
      </w:r>
      <w:r w:rsidRPr="0063061C">
        <w:rPr>
          <w:rFonts w:ascii="Times New Roman" w:eastAsia="Times New Roman" w:hAnsi="Times New Roman" w:cs="Times New Roman"/>
          <w:sz w:val="24"/>
          <w:szCs w:val="24"/>
          <w:lang w:val="en-US" w:eastAsia="ru-RU"/>
        </w:rPr>
        <w:t xml:space="preserve">other </w:t>
      </w:r>
      <w:r>
        <w:rPr>
          <w:rFonts w:ascii="Times New Roman" w:eastAsia="Times New Roman" w:hAnsi="Times New Roman" w:cs="Times New Roman"/>
          <w:sz w:val="24"/>
          <w:szCs w:val="24"/>
          <w:lang w:val="en-US" w:eastAsia="ru-RU"/>
        </w:rPr>
        <w:t>relevant</w:t>
      </w:r>
      <w:r w:rsidRPr="0063061C">
        <w:rPr>
          <w:rFonts w:ascii="Times New Roman" w:eastAsia="Times New Roman" w:hAnsi="Times New Roman" w:cs="Times New Roman"/>
          <w:sz w:val="24"/>
          <w:szCs w:val="24"/>
          <w:lang w:val="en-US" w:eastAsia="ru-RU"/>
        </w:rPr>
        <w:t xml:space="preserve"> information on </w:t>
      </w:r>
      <w:r w:rsidRPr="0063061C">
        <w:rPr>
          <w:rFonts w:ascii="Times New Roman" w:hAnsi="Times New Roman" w:cs="Times New Roman"/>
          <w:sz w:val="24"/>
          <w:szCs w:val="24"/>
          <w:lang w:val="en-US"/>
        </w:rPr>
        <w:t>clearing participant</w:t>
      </w:r>
      <w:r>
        <w:rPr>
          <w:rFonts w:ascii="Times New Roman" w:hAnsi="Times New Roman" w:cs="Times New Roman"/>
          <w:sz w:val="24"/>
          <w:szCs w:val="24"/>
          <w:lang w:val="en-US"/>
        </w:rPr>
        <w:t>s</w:t>
      </w:r>
      <w:r w:rsidRPr="0063061C">
        <w:rPr>
          <w:rFonts w:ascii="Times New Roman" w:hAnsi="Times New Roman" w:cs="Times New Roman"/>
          <w:sz w:val="24"/>
          <w:szCs w:val="24"/>
          <w:lang w:val="en-US"/>
        </w:rPr>
        <w:t xml:space="preserve"> </w:t>
      </w:r>
      <w:r w:rsidRPr="0063061C">
        <w:rPr>
          <w:rFonts w:ascii="Times New Roman" w:eastAsia="Times New Roman" w:hAnsi="Times New Roman" w:cs="Times New Roman"/>
          <w:sz w:val="24"/>
          <w:szCs w:val="24"/>
          <w:lang w:val="en-US" w:eastAsia="ru-RU"/>
        </w:rPr>
        <w:t>and counterparties</w:t>
      </w:r>
      <w:r>
        <w:rPr>
          <w:rFonts w:ascii="Times New Roman" w:eastAsia="Times New Roman" w:hAnsi="Times New Roman" w:cs="Times New Roman"/>
          <w:sz w:val="24"/>
          <w:szCs w:val="24"/>
          <w:lang w:val="en-US" w:eastAsia="ru-RU"/>
        </w:rPr>
        <w:t xml:space="preserve"> - the information that is substantial to assess the level of risks assumed by NCC to latters. </w:t>
      </w:r>
      <w:r w:rsidRPr="0063061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The i</w:t>
      </w:r>
      <w:r w:rsidRPr="0063061C">
        <w:rPr>
          <w:rFonts w:ascii="Times New Roman" w:eastAsia="Times New Roman" w:hAnsi="Times New Roman" w:cs="Times New Roman"/>
          <w:sz w:val="24"/>
          <w:szCs w:val="24"/>
          <w:lang w:val="en-US" w:eastAsia="ru-RU"/>
        </w:rPr>
        <w:t xml:space="preserve">nternal rating </w:t>
      </w:r>
      <w:r>
        <w:rPr>
          <w:rFonts w:ascii="Times New Roman" w:eastAsia="Times New Roman" w:hAnsi="Times New Roman" w:cs="Times New Roman"/>
          <w:sz w:val="24"/>
          <w:szCs w:val="24"/>
          <w:lang w:val="en-US" w:eastAsia="ru-RU"/>
        </w:rPr>
        <w:t xml:space="preserve"> is an aggregated result of</w:t>
      </w:r>
      <w:r w:rsidRPr="0063061C">
        <w:rPr>
          <w:rFonts w:ascii="Times New Roman" w:eastAsia="Times New Roman" w:hAnsi="Times New Roman" w:cs="Times New Roman"/>
          <w:sz w:val="24"/>
          <w:szCs w:val="24"/>
          <w:lang w:val="en-US" w:eastAsia="ru-RU"/>
        </w:rPr>
        <w:t xml:space="preserve"> scor</w:t>
      </w:r>
      <w:r>
        <w:rPr>
          <w:rFonts w:ascii="Times New Roman" w:eastAsia="Times New Roman" w:hAnsi="Times New Roman" w:cs="Times New Roman"/>
          <w:sz w:val="24"/>
          <w:szCs w:val="24"/>
          <w:lang w:val="en-US" w:eastAsia="ru-RU"/>
        </w:rPr>
        <w:t>ing</w:t>
      </w:r>
      <w:r w:rsidRPr="0063061C">
        <w:rPr>
          <w:rFonts w:ascii="Times New Roman" w:eastAsia="Times New Roman" w:hAnsi="Times New Roman" w:cs="Times New Roman"/>
          <w:sz w:val="24"/>
          <w:szCs w:val="24"/>
          <w:lang w:val="en-US" w:eastAsia="ru-RU"/>
        </w:rPr>
        <w:t xml:space="preserve"> of financial and non-financial </w:t>
      </w:r>
      <w:r>
        <w:rPr>
          <w:rFonts w:ascii="Times New Roman" w:eastAsia="Times New Roman" w:hAnsi="Times New Roman" w:cs="Times New Roman"/>
          <w:sz w:val="24"/>
          <w:szCs w:val="24"/>
          <w:lang w:val="en-US" w:eastAsia="ru-RU"/>
        </w:rPr>
        <w:t xml:space="preserve">indicators </w:t>
      </w:r>
      <w:r w:rsidRPr="0063061C">
        <w:rPr>
          <w:rFonts w:ascii="Times New Roman" w:eastAsia="Times New Roman" w:hAnsi="Times New Roman" w:cs="Times New Roman"/>
          <w:sz w:val="24"/>
          <w:szCs w:val="24"/>
          <w:lang w:val="en-US" w:eastAsia="ru-RU"/>
        </w:rPr>
        <w:t xml:space="preserve"> and </w:t>
      </w:r>
      <w:r>
        <w:rPr>
          <w:rFonts w:ascii="Times New Roman" w:eastAsia="Times New Roman" w:hAnsi="Times New Roman" w:cs="Times New Roman"/>
          <w:sz w:val="24"/>
          <w:szCs w:val="24"/>
          <w:lang w:val="en-US" w:eastAsia="ru-RU"/>
        </w:rPr>
        <w:t>can be corrected based on the  results of  the</w:t>
      </w:r>
      <w:r w:rsidRPr="0063061C">
        <w:rPr>
          <w:rFonts w:ascii="Times New Roman" w:eastAsia="Times New Roman" w:hAnsi="Times New Roman" w:cs="Times New Roman"/>
          <w:sz w:val="24"/>
          <w:szCs w:val="24"/>
          <w:lang w:val="en-US" w:eastAsia="ru-RU"/>
        </w:rPr>
        <w:t xml:space="preserve"> expert </w:t>
      </w:r>
      <w:r>
        <w:rPr>
          <w:rFonts w:ascii="Times New Roman" w:eastAsia="Times New Roman" w:hAnsi="Times New Roman" w:cs="Times New Roman"/>
          <w:sz w:val="24"/>
          <w:szCs w:val="24"/>
          <w:lang w:val="en-US" w:eastAsia="ru-RU"/>
        </w:rPr>
        <w:t>review</w:t>
      </w:r>
      <w:r w:rsidRPr="0063061C">
        <w:rPr>
          <w:rFonts w:ascii="Times New Roman" w:eastAsia="Times New Roman" w:hAnsi="Times New Roman" w:cs="Times New Roman"/>
          <w:sz w:val="24"/>
          <w:szCs w:val="24"/>
          <w:lang w:val="en-US" w:eastAsia="ru-RU"/>
        </w:rPr>
        <w:t xml:space="preserve"> (information on the ownership structure, counterparty’s business development, market positions of </w:t>
      </w:r>
      <w:r w:rsidR="00CE660D">
        <w:rPr>
          <w:rFonts w:ascii="Times New Roman" w:eastAsia="Times New Roman" w:hAnsi="Times New Roman" w:cs="Times New Roman"/>
          <w:sz w:val="24"/>
          <w:szCs w:val="24"/>
          <w:lang w:val="en-US" w:eastAsia="ru-RU"/>
        </w:rPr>
        <w:t xml:space="preserve">a </w:t>
      </w:r>
      <w:r w:rsidRPr="0063061C">
        <w:rPr>
          <w:rFonts w:ascii="Times New Roman" w:eastAsia="Times New Roman" w:hAnsi="Times New Roman" w:cs="Times New Roman"/>
          <w:sz w:val="24"/>
          <w:szCs w:val="24"/>
          <w:lang w:val="en-US" w:eastAsia="ru-RU"/>
        </w:rPr>
        <w:t xml:space="preserve">clearing participant on separate market segments, </w:t>
      </w:r>
      <w:r>
        <w:rPr>
          <w:rFonts w:ascii="Times New Roman" w:eastAsia="Times New Roman" w:hAnsi="Times New Roman" w:cs="Times New Roman"/>
          <w:sz w:val="24"/>
          <w:szCs w:val="24"/>
          <w:lang w:val="en-US" w:eastAsia="ru-RU"/>
        </w:rPr>
        <w:t>price movements of their stocks</w:t>
      </w:r>
      <w:r w:rsidRPr="0063061C">
        <w:rPr>
          <w:rFonts w:ascii="Times New Roman" w:eastAsia="Times New Roman" w:hAnsi="Times New Roman" w:cs="Times New Roman"/>
          <w:sz w:val="24"/>
          <w:szCs w:val="24"/>
          <w:lang w:val="en-US" w:eastAsia="ru-RU"/>
        </w:rPr>
        <w:t>, and other relevant information</w:t>
      </w:r>
      <w:r>
        <w:rPr>
          <w:rFonts w:ascii="Times New Roman" w:eastAsia="Times New Roman" w:hAnsi="Times New Roman" w:cs="Times New Roman"/>
          <w:sz w:val="24"/>
          <w:szCs w:val="24"/>
          <w:lang w:val="en-US" w:eastAsia="ru-RU"/>
        </w:rPr>
        <w:t xml:space="preserve"> is considered</w:t>
      </w:r>
      <w:r w:rsidRPr="0063061C">
        <w:rPr>
          <w:rFonts w:ascii="Times New Roman" w:eastAsia="Times New Roman" w:hAnsi="Times New Roman" w:cs="Times New Roman"/>
          <w:sz w:val="24"/>
          <w:szCs w:val="24"/>
          <w:lang w:val="en-US" w:eastAsia="ru-RU"/>
        </w:rPr>
        <w:t>).</w:t>
      </w:r>
    </w:p>
    <w:p w:rsidR="00D55472" w:rsidRPr="0063061C" w:rsidRDefault="00D55472" w:rsidP="00D55472">
      <w:pPr>
        <w:spacing w:after="120" w:line="240" w:lineRule="auto"/>
        <w:ind w:firstLine="567"/>
        <w:jc w:val="both"/>
        <w:rPr>
          <w:rFonts w:ascii="Times New Roman" w:hAnsi="Times New Roman" w:cs="Times New Roman"/>
          <w:sz w:val="24"/>
          <w:szCs w:val="24"/>
          <w:lang w:val="en-US"/>
        </w:rPr>
      </w:pPr>
      <w:r w:rsidRPr="0063061C">
        <w:rPr>
          <w:rFonts w:ascii="Times New Roman" w:hAnsi="Times New Roman" w:cs="Times New Roman"/>
          <w:sz w:val="24"/>
          <w:szCs w:val="24"/>
          <w:lang w:val="en-US"/>
        </w:rPr>
        <w:t xml:space="preserve">As of 01.01.2014 NCC’s </w:t>
      </w:r>
      <w:r w:rsidRPr="0063061C">
        <w:rPr>
          <w:rFonts w:ascii="Times New Roman" w:eastAsia="Times New Roman" w:hAnsi="Times New Roman" w:cs="Times New Roman"/>
          <w:sz w:val="24"/>
          <w:szCs w:val="24"/>
          <w:lang w:val="en-US" w:eastAsia="ru-RU"/>
        </w:rPr>
        <w:t>internal rating</w:t>
      </w:r>
      <w:r>
        <w:rPr>
          <w:rFonts w:ascii="Times New Roman" w:eastAsia="Times New Roman" w:hAnsi="Times New Roman" w:cs="Times New Roman"/>
          <w:sz w:val="24"/>
          <w:szCs w:val="24"/>
          <w:lang w:val="en-US" w:eastAsia="ru-RU"/>
        </w:rPr>
        <w:t xml:space="preserve">s </w:t>
      </w:r>
      <w:r w:rsidRPr="0063061C">
        <w:rPr>
          <w:rFonts w:ascii="Times New Roman" w:eastAsia="Times New Roman" w:hAnsi="Times New Roman" w:cs="Times New Roman"/>
          <w:sz w:val="24"/>
          <w:szCs w:val="24"/>
          <w:lang w:val="en-US" w:eastAsia="ru-RU"/>
        </w:rPr>
        <w:t>covered</w:t>
      </w:r>
      <w:r w:rsidRPr="0063061C">
        <w:rPr>
          <w:rFonts w:ascii="Times New Roman" w:hAnsi="Times New Roman" w:cs="Times New Roman"/>
          <w:sz w:val="24"/>
          <w:szCs w:val="24"/>
          <w:lang w:val="en-US"/>
        </w:rPr>
        <w:t xml:space="preserve"> 780 organizations. The classification</w:t>
      </w:r>
      <w:r>
        <w:rPr>
          <w:rFonts w:ascii="Times New Roman" w:hAnsi="Times New Roman" w:cs="Times New Roman"/>
          <w:sz w:val="24"/>
          <w:szCs w:val="24"/>
          <w:lang w:val="en-US"/>
        </w:rPr>
        <w:t xml:space="preserve"> </w:t>
      </w:r>
      <w:r w:rsidRPr="0063061C">
        <w:rPr>
          <w:rFonts w:ascii="Times New Roman" w:hAnsi="Times New Roman" w:cs="Times New Roman"/>
          <w:sz w:val="24"/>
          <w:szCs w:val="24"/>
          <w:lang w:val="en-US"/>
        </w:rPr>
        <w:t>of rated clearing participant</w:t>
      </w:r>
      <w:r>
        <w:rPr>
          <w:rFonts w:ascii="Times New Roman" w:hAnsi="Times New Roman" w:cs="Times New Roman"/>
          <w:sz w:val="24"/>
          <w:szCs w:val="24"/>
          <w:lang w:val="en-US"/>
        </w:rPr>
        <w:t>s</w:t>
      </w:r>
      <w:r w:rsidRPr="0063061C">
        <w:rPr>
          <w:rFonts w:ascii="Times New Roman" w:hAnsi="Times New Roman" w:cs="Times New Roman"/>
          <w:sz w:val="24"/>
          <w:szCs w:val="24"/>
          <w:lang w:val="en-US"/>
        </w:rPr>
        <w:t xml:space="preserve"> </w:t>
      </w:r>
      <w:r w:rsidRPr="0063061C">
        <w:rPr>
          <w:rFonts w:ascii="Times New Roman" w:eastAsia="Times New Roman" w:hAnsi="Times New Roman" w:cs="Times New Roman"/>
          <w:sz w:val="24"/>
          <w:szCs w:val="24"/>
          <w:lang w:val="en-US" w:eastAsia="ru-RU"/>
        </w:rPr>
        <w:t xml:space="preserve">and counterparties </w:t>
      </w:r>
      <w:r>
        <w:rPr>
          <w:rFonts w:ascii="Times New Roman" w:hAnsi="Times New Roman" w:cs="Times New Roman"/>
          <w:sz w:val="24"/>
          <w:szCs w:val="24"/>
          <w:lang w:val="en-US"/>
        </w:rPr>
        <w:t>by type</w:t>
      </w:r>
      <w:r w:rsidRPr="0063061C">
        <w:rPr>
          <w:rFonts w:ascii="Times New Roman" w:hAnsi="Times New Roman" w:cs="Times New Roman"/>
          <w:sz w:val="24"/>
          <w:szCs w:val="24"/>
          <w:lang w:val="en-US"/>
        </w:rPr>
        <w:t xml:space="preserve"> as of 01.01.2014 is </w:t>
      </w:r>
      <w:r>
        <w:rPr>
          <w:rFonts w:ascii="Times New Roman" w:hAnsi="Times New Roman" w:cs="Times New Roman"/>
          <w:sz w:val="24"/>
          <w:szCs w:val="24"/>
          <w:lang w:val="en-US"/>
        </w:rPr>
        <w:t>presented</w:t>
      </w:r>
      <w:r w:rsidRPr="0063061C">
        <w:rPr>
          <w:rFonts w:ascii="Times New Roman" w:hAnsi="Times New Roman" w:cs="Times New Roman"/>
          <w:sz w:val="24"/>
          <w:szCs w:val="24"/>
          <w:lang w:val="en-US"/>
        </w:rPr>
        <w:t xml:space="preserve"> in the table:</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CellMar>
          <w:left w:w="0" w:type="dxa"/>
          <w:right w:w="0" w:type="dxa"/>
        </w:tblCellMar>
        <w:tblLook w:val="04A0" w:firstRow="1" w:lastRow="0" w:firstColumn="1" w:lastColumn="0" w:noHBand="0" w:noVBand="1"/>
      </w:tblPr>
      <w:tblGrid>
        <w:gridCol w:w="5846"/>
        <w:gridCol w:w="3084"/>
      </w:tblGrid>
      <w:tr w:rsidR="00D55472" w:rsidRPr="0063061C" w:rsidTr="005B4876">
        <w:trPr>
          <w:trHeight w:val="300"/>
        </w:trPr>
        <w:tc>
          <w:tcPr>
            <w:tcW w:w="5846" w:type="dxa"/>
            <w:noWrap/>
            <w:tcMar>
              <w:top w:w="0" w:type="dxa"/>
              <w:left w:w="108" w:type="dxa"/>
              <w:bottom w:w="0" w:type="dxa"/>
              <w:right w:w="108" w:type="dxa"/>
            </w:tcMar>
            <w:vAlign w:val="bottom"/>
            <w:hideMark/>
          </w:tcPr>
          <w:p w:rsidR="00D55472" w:rsidRPr="0063061C" w:rsidRDefault="00D55472" w:rsidP="005B4876">
            <w:pPr>
              <w:spacing w:after="0" w:line="240" w:lineRule="auto"/>
              <w:jc w:val="both"/>
              <w:rPr>
                <w:rFonts w:ascii="Times New Roman" w:eastAsia="Calibri" w:hAnsi="Times New Roman" w:cs="Times New Roman"/>
                <w:sz w:val="24"/>
                <w:szCs w:val="24"/>
                <w:lang w:val="en-US" w:eastAsia="ru-RU"/>
              </w:rPr>
            </w:pPr>
            <w:r w:rsidRPr="0063061C">
              <w:rPr>
                <w:rFonts w:ascii="Times New Roman" w:eastAsia="Calibri" w:hAnsi="Times New Roman" w:cs="Times New Roman"/>
                <w:sz w:val="24"/>
                <w:szCs w:val="24"/>
                <w:lang w:val="en-US" w:eastAsia="ru-RU"/>
              </w:rPr>
              <w:t>Resident-Banks</w:t>
            </w:r>
          </w:p>
        </w:tc>
        <w:tc>
          <w:tcPr>
            <w:tcW w:w="3084" w:type="dxa"/>
            <w:noWrap/>
            <w:tcMar>
              <w:top w:w="0" w:type="dxa"/>
              <w:left w:w="108" w:type="dxa"/>
              <w:bottom w:w="0" w:type="dxa"/>
              <w:right w:w="108" w:type="dxa"/>
            </w:tcMar>
            <w:vAlign w:val="bottom"/>
            <w:hideMark/>
          </w:tcPr>
          <w:p w:rsidR="00D55472" w:rsidRPr="0063061C" w:rsidRDefault="00D55472" w:rsidP="005B4876">
            <w:pPr>
              <w:spacing w:after="0" w:line="240" w:lineRule="auto"/>
              <w:jc w:val="right"/>
              <w:rPr>
                <w:rFonts w:ascii="Times New Roman" w:eastAsia="Calibri" w:hAnsi="Times New Roman" w:cs="Times New Roman"/>
                <w:sz w:val="24"/>
                <w:szCs w:val="24"/>
                <w:lang w:val="en-US" w:eastAsia="ru-RU"/>
              </w:rPr>
            </w:pPr>
            <w:r w:rsidRPr="0063061C">
              <w:rPr>
                <w:rFonts w:ascii="Times New Roman" w:eastAsia="Calibri" w:hAnsi="Times New Roman" w:cs="Times New Roman"/>
                <w:sz w:val="24"/>
                <w:szCs w:val="24"/>
                <w:lang w:val="en-US" w:eastAsia="ru-RU"/>
              </w:rPr>
              <w:t>69%</w:t>
            </w:r>
          </w:p>
        </w:tc>
      </w:tr>
      <w:tr w:rsidR="00D55472" w:rsidRPr="0063061C" w:rsidTr="005B4876">
        <w:trPr>
          <w:trHeight w:val="300"/>
        </w:trPr>
        <w:tc>
          <w:tcPr>
            <w:tcW w:w="5846" w:type="dxa"/>
            <w:noWrap/>
            <w:tcMar>
              <w:top w:w="0" w:type="dxa"/>
              <w:left w:w="108" w:type="dxa"/>
              <w:bottom w:w="0" w:type="dxa"/>
              <w:right w:w="108" w:type="dxa"/>
            </w:tcMar>
            <w:vAlign w:val="bottom"/>
            <w:hideMark/>
          </w:tcPr>
          <w:p w:rsidR="00D55472" w:rsidRPr="0063061C" w:rsidRDefault="00D55472" w:rsidP="005B4876">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Non-bank Credit Organizations</w:t>
            </w:r>
          </w:p>
        </w:tc>
        <w:tc>
          <w:tcPr>
            <w:tcW w:w="3084" w:type="dxa"/>
            <w:noWrap/>
            <w:tcMar>
              <w:top w:w="0" w:type="dxa"/>
              <w:left w:w="108" w:type="dxa"/>
              <w:bottom w:w="0" w:type="dxa"/>
              <w:right w:w="108" w:type="dxa"/>
            </w:tcMar>
            <w:vAlign w:val="bottom"/>
            <w:hideMark/>
          </w:tcPr>
          <w:p w:rsidR="00D55472" w:rsidRPr="0063061C" w:rsidRDefault="00D55472" w:rsidP="005B4876">
            <w:pPr>
              <w:spacing w:after="0" w:line="240" w:lineRule="auto"/>
              <w:jc w:val="right"/>
              <w:rPr>
                <w:rFonts w:ascii="Times New Roman" w:eastAsia="Calibri" w:hAnsi="Times New Roman" w:cs="Times New Roman"/>
                <w:sz w:val="24"/>
                <w:szCs w:val="24"/>
                <w:lang w:val="en-US" w:eastAsia="ru-RU"/>
              </w:rPr>
            </w:pPr>
            <w:r w:rsidRPr="0063061C">
              <w:rPr>
                <w:rFonts w:ascii="Times New Roman" w:eastAsia="Calibri" w:hAnsi="Times New Roman" w:cs="Times New Roman"/>
                <w:sz w:val="24"/>
                <w:szCs w:val="24"/>
                <w:lang w:val="en-US" w:eastAsia="ru-RU"/>
              </w:rPr>
              <w:t>1%</w:t>
            </w:r>
          </w:p>
        </w:tc>
      </w:tr>
      <w:tr w:rsidR="00D55472" w:rsidRPr="0063061C" w:rsidTr="005B4876">
        <w:trPr>
          <w:trHeight w:val="300"/>
        </w:trPr>
        <w:tc>
          <w:tcPr>
            <w:tcW w:w="5846" w:type="dxa"/>
            <w:noWrap/>
            <w:tcMar>
              <w:top w:w="0" w:type="dxa"/>
              <w:left w:w="108" w:type="dxa"/>
              <w:bottom w:w="0" w:type="dxa"/>
              <w:right w:w="108" w:type="dxa"/>
            </w:tcMar>
            <w:vAlign w:val="bottom"/>
            <w:hideMark/>
          </w:tcPr>
          <w:p w:rsidR="00D55472" w:rsidRPr="0063061C" w:rsidRDefault="00D55472" w:rsidP="005B4876">
            <w:pPr>
              <w:spacing w:after="0" w:line="240" w:lineRule="auto"/>
              <w:jc w:val="both"/>
              <w:rPr>
                <w:rFonts w:ascii="Times New Roman" w:eastAsia="Calibri" w:hAnsi="Times New Roman" w:cs="Times New Roman"/>
                <w:sz w:val="24"/>
                <w:szCs w:val="24"/>
                <w:lang w:val="en-US" w:eastAsia="ru-RU"/>
              </w:rPr>
            </w:pPr>
            <w:r w:rsidRPr="0063061C">
              <w:rPr>
                <w:rFonts w:ascii="Times New Roman" w:eastAsia="Calibri" w:hAnsi="Times New Roman" w:cs="Times New Roman"/>
                <w:sz w:val="24"/>
                <w:szCs w:val="24"/>
                <w:lang w:val="en-US" w:eastAsia="ru-RU"/>
              </w:rPr>
              <w:t>Financial Institutions</w:t>
            </w:r>
          </w:p>
        </w:tc>
        <w:tc>
          <w:tcPr>
            <w:tcW w:w="3084" w:type="dxa"/>
            <w:noWrap/>
            <w:tcMar>
              <w:top w:w="0" w:type="dxa"/>
              <w:left w:w="108" w:type="dxa"/>
              <w:bottom w:w="0" w:type="dxa"/>
              <w:right w:w="108" w:type="dxa"/>
            </w:tcMar>
            <w:vAlign w:val="bottom"/>
            <w:hideMark/>
          </w:tcPr>
          <w:p w:rsidR="00D55472" w:rsidRPr="0063061C" w:rsidRDefault="00D55472" w:rsidP="005B4876">
            <w:pPr>
              <w:spacing w:after="0" w:line="240" w:lineRule="auto"/>
              <w:jc w:val="right"/>
              <w:rPr>
                <w:rFonts w:ascii="Times New Roman" w:eastAsia="Calibri" w:hAnsi="Times New Roman" w:cs="Times New Roman"/>
                <w:sz w:val="24"/>
                <w:szCs w:val="24"/>
                <w:lang w:val="en-US" w:eastAsia="ru-RU"/>
              </w:rPr>
            </w:pPr>
            <w:r w:rsidRPr="0063061C">
              <w:rPr>
                <w:rFonts w:ascii="Times New Roman" w:eastAsia="Calibri" w:hAnsi="Times New Roman" w:cs="Times New Roman"/>
                <w:sz w:val="24"/>
                <w:szCs w:val="24"/>
                <w:lang w:val="en-US" w:eastAsia="ru-RU"/>
              </w:rPr>
              <w:t>28%</w:t>
            </w:r>
          </w:p>
        </w:tc>
      </w:tr>
      <w:tr w:rsidR="00D55472" w:rsidRPr="0063061C" w:rsidTr="005B4876">
        <w:trPr>
          <w:trHeight w:val="300"/>
        </w:trPr>
        <w:tc>
          <w:tcPr>
            <w:tcW w:w="5846" w:type="dxa"/>
            <w:noWrap/>
            <w:tcMar>
              <w:top w:w="0" w:type="dxa"/>
              <w:left w:w="108" w:type="dxa"/>
              <w:bottom w:w="0" w:type="dxa"/>
              <w:right w:w="108" w:type="dxa"/>
            </w:tcMar>
            <w:vAlign w:val="bottom"/>
            <w:hideMark/>
          </w:tcPr>
          <w:p w:rsidR="00D55472" w:rsidRPr="0063061C" w:rsidRDefault="00D55472" w:rsidP="005B4876">
            <w:pPr>
              <w:spacing w:after="0" w:line="240" w:lineRule="auto"/>
              <w:jc w:val="both"/>
              <w:rPr>
                <w:rFonts w:ascii="Times New Roman" w:eastAsia="Calibri" w:hAnsi="Times New Roman" w:cs="Times New Roman"/>
                <w:sz w:val="24"/>
                <w:szCs w:val="24"/>
                <w:lang w:val="en-US" w:eastAsia="ru-RU"/>
              </w:rPr>
            </w:pPr>
            <w:r w:rsidRPr="0063061C">
              <w:rPr>
                <w:rFonts w:ascii="Times New Roman" w:eastAsia="Calibri" w:hAnsi="Times New Roman" w:cs="Times New Roman"/>
                <w:sz w:val="24"/>
                <w:szCs w:val="24"/>
                <w:lang w:val="en-US" w:eastAsia="ru-RU"/>
              </w:rPr>
              <w:t>Non-Resident Banks</w:t>
            </w:r>
          </w:p>
        </w:tc>
        <w:tc>
          <w:tcPr>
            <w:tcW w:w="3084" w:type="dxa"/>
            <w:noWrap/>
            <w:tcMar>
              <w:top w:w="0" w:type="dxa"/>
              <w:left w:w="108" w:type="dxa"/>
              <w:bottom w:w="0" w:type="dxa"/>
              <w:right w:w="108" w:type="dxa"/>
            </w:tcMar>
            <w:vAlign w:val="bottom"/>
            <w:hideMark/>
          </w:tcPr>
          <w:p w:rsidR="00D55472" w:rsidRPr="0063061C" w:rsidRDefault="00D55472" w:rsidP="005B4876">
            <w:pPr>
              <w:spacing w:after="0" w:line="240" w:lineRule="auto"/>
              <w:jc w:val="right"/>
              <w:rPr>
                <w:rFonts w:ascii="Times New Roman" w:eastAsia="Calibri" w:hAnsi="Times New Roman" w:cs="Times New Roman"/>
                <w:sz w:val="24"/>
                <w:szCs w:val="24"/>
                <w:lang w:val="en-US" w:eastAsia="ru-RU"/>
              </w:rPr>
            </w:pPr>
            <w:r w:rsidRPr="0063061C">
              <w:rPr>
                <w:rFonts w:ascii="Times New Roman" w:eastAsia="Calibri" w:hAnsi="Times New Roman" w:cs="Times New Roman"/>
                <w:sz w:val="24"/>
                <w:szCs w:val="24"/>
                <w:lang w:val="en-US" w:eastAsia="ru-RU"/>
              </w:rPr>
              <w:t>2%</w:t>
            </w:r>
          </w:p>
        </w:tc>
      </w:tr>
    </w:tbl>
    <w:p w:rsidR="00D55472" w:rsidRPr="0063061C" w:rsidRDefault="00D55472" w:rsidP="00D55472">
      <w:pPr>
        <w:spacing w:after="120" w:line="240" w:lineRule="auto"/>
        <w:ind w:firstLine="567"/>
        <w:jc w:val="both"/>
        <w:rPr>
          <w:rFonts w:ascii="Times New Roman" w:hAnsi="Times New Roman" w:cs="Times New Roman"/>
          <w:b/>
          <w:sz w:val="24"/>
          <w:szCs w:val="24"/>
          <w:lang w:val="en-US"/>
        </w:rPr>
      </w:pPr>
    </w:p>
    <w:p w:rsidR="00D55472" w:rsidRPr="0063061C" w:rsidRDefault="00D55472" w:rsidP="00D55472">
      <w:pPr>
        <w:spacing w:before="100" w:after="120" w:line="240" w:lineRule="auto"/>
        <w:jc w:val="center"/>
        <w:rPr>
          <w:rFonts w:ascii="Times New Roman" w:hAnsi="Times New Roman" w:cs="Times New Roman"/>
          <w:b/>
          <w:sz w:val="24"/>
          <w:szCs w:val="24"/>
          <w:lang w:val="en-US"/>
        </w:rPr>
      </w:pPr>
      <w:r w:rsidRPr="0063061C">
        <w:rPr>
          <w:rFonts w:ascii="Times New Roman" w:hAnsi="Times New Roman" w:cs="Times New Roman"/>
          <w:b/>
          <w:sz w:val="24"/>
          <w:szCs w:val="24"/>
          <w:lang w:val="en-US"/>
        </w:rPr>
        <w:t xml:space="preserve">III. </w:t>
      </w:r>
      <w:r>
        <w:rPr>
          <w:rFonts w:ascii="Times New Roman" w:hAnsi="Times New Roman" w:cs="Times New Roman"/>
          <w:b/>
          <w:sz w:val="24"/>
          <w:szCs w:val="24"/>
          <w:lang w:val="en-US"/>
        </w:rPr>
        <w:t xml:space="preserve">Investment </w:t>
      </w:r>
      <w:r w:rsidRPr="0063061C">
        <w:rPr>
          <w:rFonts w:ascii="Times New Roman" w:hAnsi="Times New Roman" w:cs="Times New Roman"/>
          <w:b/>
          <w:sz w:val="24"/>
          <w:szCs w:val="24"/>
          <w:lang w:val="en-US"/>
        </w:rPr>
        <w:t>Risks</w:t>
      </w:r>
    </w:p>
    <w:p w:rsidR="00D55472" w:rsidRPr="0063061C" w:rsidRDefault="00D55472" w:rsidP="00D55472">
      <w:pPr>
        <w:tabs>
          <w:tab w:val="num" w:pos="567"/>
          <w:tab w:val="left" w:pos="600"/>
        </w:tabs>
        <w:spacing w:after="120" w:line="240" w:lineRule="auto"/>
        <w:ind w:firstLine="567"/>
        <w:jc w:val="both"/>
        <w:rPr>
          <w:rFonts w:ascii="Times New Roman" w:eastAsia="+mn-ea" w:hAnsi="Times New Roman" w:cs="Times New Roman"/>
          <w:sz w:val="24"/>
          <w:szCs w:val="24"/>
          <w:lang w:val="en-US"/>
        </w:rPr>
      </w:pPr>
      <w:r w:rsidRPr="0063061C">
        <w:rPr>
          <w:rFonts w:ascii="Times New Roman" w:eastAsia="Calibri" w:hAnsi="Times New Roman" w:cs="Times New Roman"/>
          <w:sz w:val="24"/>
          <w:szCs w:val="24"/>
          <w:lang w:val="en-US"/>
        </w:rPr>
        <w:t xml:space="preserve">NCC according to its special status and </w:t>
      </w:r>
      <w:r>
        <w:rPr>
          <w:rFonts w:ascii="Times New Roman" w:eastAsia="Calibri" w:hAnsi="Times New Roman" w:cs="Times New Roman"/>
          <w:sz w:val="24"/>
          <w:szCs w:val="24"/>
          <w:lang w:val="en-US"/>
        </w:rPr>
        <w:t>type</w:t>
      </w:r>
      <w:r w:rsidRPr="0063061C">
        <w:rPr>
          <w:rFonts w:ascii="Times New Roman" w:eastAsia="Calibri" w:hAnsi="Times New Roman" w:cs="Times New Roman"/>
          <w:sz w:val="24"/>
          <w:szCs w:val="24"/>
          <w:lang w:val="en-US"/>
        </w:rPr>
        <w:t xml:space="preserve"> of activities </w:t>
      </w:r>
      <w:r>
        <w:rPr>
          <w:rFonts w:ascii="Times New Roman" w:eastAsia="Calibri" w:hAnsi="Times New Roman" w:cs="Times New Roman"/>
          <w:sz w:val="24"/>
          <w:szCs w:val="24"/>
          <w:lang w:val="en-US"/>
        </w:rPr>
        <w:t>adhere</w:t>
      </w:r>
      <w:r w:rsidRPr="0063061C">
        <w:rPr>
          <w:rFonts w:ascii="Times New Roman" w:eastAsia="Calibri" w:hAnsi="Times New Roman" w:cs="Times New Roman"/>
          <w:sz w:val="24"/>
          <w:szCs w:val="24"/>
          <w:lang w:val="en-US"/>
        </w:rPr>
        <w:t xml:space="preserve"> to the conservative asset management policy while </w:t>
      </w:r>
      <w:r>
        <w:rPr>
          <w:rFonts w:ascii="Times New Roman" w:eastAsia="Calibri" w:hAnsi="Times New Roman" w:cs="Times New Roman"/>
          <w:sz w:val="24"/>
          <w:szCs w:val="24"/>
          <w:lang w:val="en-US"/>
        </w:rPr>
        <w:t xml:space="preserve">investing </w:t>
      </w:r>
      <w:r w:rsidRPr="009C1F4B">
        <w:rPr>
          <w:rFonts w:ascii="Times New Roman" w:eastAsia="Calibri" w:hAnsi="Times New Roman" w:cs="Times New Roman"/>
          <w:sz w:val="24"/>
          <w:szCs w:val="24"/>
          <w:lang w:val="en-US"/>
        </w:rPr>
        <w:t xml:space="preserve">redundant </w:t>
      </w:r>
      <w:r>
        <w:rPr>
          <w:rFonts w:ascii="Times New Roman" w:eastAsia="Calibri" w:hAnsi="Times New Roman" w:cs="Times New Roman"/>
          <w:sz w:val="24"/>
          <w:szCs w:val="24"/>
          <w:lang w:val="en-US"/>
        </w:rPr>
        <w:t>funds</w:t>
      </w:r>
      <w:r w:rsidRPr="0063061C">
        <w:rPr>
          <w:rFonts w:ascii="Times New Roman" w:eastAsia="Calibri" w:hAnsi="Times New Roman" w:cs="Times New Roman"/>
          <w:sz w:val="24"/>
          <w:szCs w:val="24"/>
          <w:lang w:val="en-US"/>
        </w:rPr>
        <w:t xml:space="preserve">. The basic risk management techniques applied to </w:t>
      </w:r>
      <w:r>
        <w:rPr>
          <w:rFonts w:ascii="Times New Roman" w:eastAsia="Calibri" w:hAnsi="Times New Roman" w:cs="Times New Roman"/>
          <w:sz w:val="24"/>
          <w:szCs w:val="24"/>
          <w:lang w:val="en-US"/>
        </w:rPr>
        <w:t>investment</w:t>
      </w:r>
      <w:r w:rsidRPr="0063061C">
        <w:rPr>
          <w:rFonts w:ascii="Times New Roman" w:eastAsia="Calibri" w:hAnsi="Times New Roman" w:cs="Times New Roman"/>
          <w:sz w:val="24"/>
          <w:szCs w:val="24"/>
          <w:lang w:val="en-US"/>
        </w:rPr>
        <w:t xml:space="preserve"> activities</w:t>
      </w:r>
      <w:r w:rsidR="00FB2750">
        <w:rPr>
          <w:rFonts w:ascii="Times New Roman" w:eastAsia="Calibri" w:hAnsi="Times New Roman" w:cs="Times New Roman"/>
          <w:sz w:val="24"/>
          <w:szCs w:val="24"/>
          <w:lang w:val="en-US"/>
        </w:rPr>
        <w:t xml:space="preserve"> </w:t>
      </w:r>
      <w:proofErr w:type="gramStart"/>
      <w:r w:rsidRPr="0063061C">
        <w:rPr>
          <w:rFonts w:ascii="Times New Roman" w:eastAsia="Calibri" w:hAnsi="Times New Roman" w:cs="Times New Roman"/>
          <w:sz w:val="24"/>
          <w:szCs w:val="24"/>
          <w:lang w:val="en-US"/>
        </w:rPr>
        <w:t>include</w:t>
      </w:r>
      <w:proofErr w:type="gramEnd"/>
      <w:r w:rsidRPr="0063061C">
        <w:rPr>
          <w:rFonts w:ascii="Times New Roman" w:eastAsia="Calibri" w:hAnsi="Times New Roman" w:cs="Times New Roman"/>
          <w:sz w:val="24"/>
          <w:szCs w:val="24"/>
          <w:lang w:val="en-US"/>
        </w:rPr>
        <w:t xml:space="preserve">: </w:t>
      </w:r>
    </w:p>
    <w:p w:rsidR="00D55472" w:rsidRPr="00F80FD3" w:rsidRDefault="00D55472" w:rsidP="00472CA4">
      <w:pPr>
        <w:pStyle w:val="af0"/>
        <w:numPr>
          <w:ilvl w:val="0"/>
          <w:numId w:val="52"/>
        </w:numPr>
        <w:spacing w:after="0" w:line="240" w:lineRule="auto"/>
        <w:jc w:val="both"/>
        <w:rPr>
          <w:rFonts w:ascii="Times New Roman" w:eastAsia="+mn-ea" w:hAnsi="Times New Roman" w:cs="Times New Roman"/>
          <w:sz w:val="24"/>
          <w:szCs w:val="24"/>
          <w:lang w:val="en-US"/>
        </w:rPr>
      </w:pPr>
      <w:r w:rsidRPr="00F80FD3">
        <w:rPr>
          <w:rFonts w:ascii="Times New Roman" w:eastAsia="Calibri" w:hAnsi="Times New Roman" w:cs="Times New Roman"/>
          <w:sz w:val="24"/>
          <w:szCs w:val="24"/>
          <w:lang w:val="en-US"/>
        </w:rPr>
        <w:t xml:space="preserve">managing assets and liabilities portfolio; </w:t>
      </w:r>
    </w:p>
    <w:p w:rsidR="00D55472" w:rsidRPr="00F80FD3" w:rsidRDefault="00D55472" w:rsidP="00472CA4">
      <w:pPr>
        <w:pStyle w:val="af0"/>
        <w:numPr>
          <w:ilvl w:val="0"/>
          <w:numId w:val="52"/>
        </w:numPr>
        <w:spacing w:after="0" w:line="240" w:lineRule="auto"/>
        <w:jc w:val="both"/>
        <w:rPr>
          <w:rFonts w:ascii="Times New Roman" w:eastAsia="+mn-ea" w:hAnsi="Times New Roman" w:cs="Times New Roman"/>
          <w:sz w:val="24"/>
          <w:szCs w:val="24"/>
          <w:lang w:val="en-US"/>
        </w:rPr>
      </w:pPr>
      <w:r w:rsidRPr="00F80FD3">
        <w:rPr>
          <w:rFonts w:ascii="Times New Roman" w:eastAsia="Calibri" w:hAnsi="Times New Roman" w:cs="Times New Roman"/>
          <w:sz w:val="24"/>
          <w:szCs w:val="24"/>
          <w:lang w:val="en-US"/>
        </w:rPr>
        <w:t>monitoring the financial condition of counterparties;</w:t>
      </w:r>
    </w:p>
    <w:p w:rsidR="00D55472" w:rsidRPr="00F80FD3" w:rsidRDefault="00D55472" w:rsidP="00472CA4">
      <w:pPr>
        <w:pStyle w:val="af0"/>
        <w:numPr>
          <w:ilvl w:val="0"/>
          <w:numId w:val="52"/>
        </w:numPr>
        <w:spacing w:after="0" w:line="240" w:lineRule="auto"/>
        <w:jc w:val="both"/>
        <w:rPr>
          <w:rFonts w:ascii="Times New Roman" w:eastAsia="+mn-ea" w:hAnsi="Times New Roman" w:cs="Times New Roman"/>
          <w:sz w:val="24"/>
          <w:szCs w:val="24"/>
          <w:lang w:val="en-US"/>
        </w:rPr>
      </w:pPr>
      <w:r w:rsidRPr="00F80FD3">
        <w:rPr>
          <w:rFonts w:ascii="Times New Roman" w:eastAsia="Calibri" w:hAnsi="Times New Roman" w:cs="Times New Roman"/>
          <w:sz w:val="24"/>
          <w:szCs w:val="24"/>
          <w:lang w:val="en-US"/>
        </w:rPr>
        <w:t>limit setting;</w:t>
      </w:r>
    </w:p>
    <w:p w:rsidR="00D55472" w:rsidRPr="00F80FD3" w:rsidRDefault="00D55472" w:rsidP="00472CA4">
      <w:pPr>
        <w:pStyle w:val="af0"/>
        <w:numPr>
          <w:ilvl w:val="0"/>
          <w:numId w:val="52"/>
        </w:numPr>
        <w:spacing w:after="0" w:line="240" w:lineRule="auto"/>
        <w:jc w:val="both"/>
        <w:rPr>
          <w:rFonts w:ascii="Times New Roman" w:eastAsia="+mn-ea" w:hAnsi="Times New Roman" w:cs="Times New Roman"/>
          <w:sz w:val="24"/>
          <w:szCs w:val="24"/>
          <w:lang w:val="en-US"/>
        </w:rPr>
      </w:pPr>
      <w:r w:rsidRPr="00F80FD3">
        <w:rPr>
          <w:rFonts w:ascii="Times New Roman" w:eastAsia="Calibri" w:hAnsi="Times New Roman" w:cs="Times New Roman"/>
          <w:sz w:val="24"/>
          <w:szCs w:val="24"/>
          <w:lang w:val="en-US"/>
        </w:rPr>
        <w:t>creating reserve funds to cover probable losses;</w:t>
      </w:r>
    </w:p>
    <w:p w:rsidR="00D55472" w:rsidRPr="00F80FD3" w:rsidRDefault="00D55472" w:rsidP="00472CA4">
      <w:pPr>
        <w:pStyle w:val="af0"/>
        <w:numPr>
          <w:ilvl w:val="0"/>
          <w:numId w:val="52"/>
        </w:numPr>
        <w:spacing w:after="120" w:line="240" w:lineRule="auto"/>
        <w:jc w:val="both"/>
        <w:rPr>
          <w:rFonts w:ascii="Times New Roman" w:eastAsia="+mn-ea" w:hAnsi="Times New Roman" w:cs="Times New Roman"/>
          <w:sz w:val="24"/>
          <w:szCs w:val="24"/>
          <w:lang w:val="en-US"/>
        </w:rPr>
      </w:pPr>
      <w:proofErr w:type="gramStart"/>
      <w:r w:rsidRPr="00F80FD3">
        <w:rPr>
          <w:rFonts w:ascii="Times New Roman" w:eastAsia="Calibri" w:hAnsi="Times New Roman" w:cs="Times New Roman"/>
          <w:sz w:val="24"/>
          <w:szCs w:val="24"/>
          <w:lang w:val="en-US"/>
        </w:rPr>
        <w:t>avoiding</w:t>
      </w:r>
      <w:proofErr w:type="gramEnd"/>
      <w:r w:rsidRPr="00F80FD3">
        <w:rPr>
          <w:rFonts w:ascii="Times New Roman" w:eastAsia="Calibri" w:hAnsi="Times New Roman" w:cs="Times New Roman"/>
          <w:sz w:val="24"/>
          <w:szCs w:val="24"/>
          <w:lang w:val="en-US"/>
        </w:rPr>
        <w:t xml:space="preserve">   certain   risks.</w:t>
      </w:r>
    </w:p>
    <w:p w:rsidR="00D55472" w:rsidRPr="0063061C" w:rsidRDefault="00D55472" w:rsidP="00D55472">
      <w:pPr>
        <w:spacing w:before="100" w:after="120" w:line="240" w:lineRule="auto"/>
        <w:jc w:val="center"/>
        <w:rPr>
          <w:rFonts w:ascii="Times New Roman" w:hAnsi="Times New Roman" w:cs="Times New Roman"/>
          <w:b/>
          <w:sz w:val="24"/>
          <w:szCs w:val="24"/>
          <w:lang w:val="en-US"/>
        </w:rPr>
      </w:pPr>
    </w:p>
    <w:p w:rsidR="00D55472" w:rsidRPr="0063061C" w:rsidRDefault="00D55472" w:rsidP="00D55472">
      <w:pPr>
        <w:spacing w:before="100" w:after="120" w:line="240" w:lineRule="auto"/>
        <w:jc w:val="center"/>
        <w:rPr>
          <w:rFonts w:ascii="Times New Roman" w:hAnsi="Times New Roman" w:cs="Times New Roman"/>
          <w:b/>
          <w:sz w:val="24"/>
          <w:szCs w:val="24"/>
          <w:lang w:val="en-US"/>
        </w:rPr>
      </w:pPr>
      <w:r w:rsidRPr="0063061C">
        <w:rPr>
          <w:rFonts w:ascii="Times New Roman" w:hAnsi="Times New Roman" w:cs="Times New Roman"/>
          <w:b/>
          <w:sz w:val="24"/>
          <w:szCs w:val="24"/>
          <w:lang w:val="en-US"/>
        </w:rPr>
        <w:t>Credit risk management</w:t>
      </w:r>
    </w:p>
    <w:p w:rsidR="00D55472" w:rsidRPr="0063061C" w:rsidRDefault="00D55472" w:rsidP="00D55472">
      <w:pPr>
        <w:tabs>
          <w:tab w:val="left" w:pos="0"/>
          <w:tab w:val="num" w:pos="567"/>
        </w:tabs>
        <w:spacing w:after="120" w:line="240" w:lineRule="auto"/>
        <w:ind w:firstLine="567"/>
        <w:jc w:val="both"/>
        <w:rPr>
          <w:rFonts w:ascii="Times New Roman" w:eastAsia="+mn-ea" w:hAnsi="Times New Roman" w:cs="Times New Roman"/>
          <w:sz w:val="24"/>
          <w:szCs w:val="24"/>
          <w:lang w:val="en-US"/>
        </w:rPr>
      </w:pPr>
      <w:r>
        <w:rPr>
          <w:rFonts w:ascii="Times New Roman" w:hAnsi="Times New Roman" w:cs="Times New Roman"/>
          <w:sz w:val="24"/>
          <w:szCs w:val="24"/>
          <w:lang w:val="en-US"/>
        </w:rPr>
        <w:t>T</w:t>
      </w:r>
      <w:r w:rsidRPr="0063061C">
        <w:rPr>
          <w:rFonts w:ascii="Times New Roman" w:eastAsia="Calibri" w:hAnsi="Times New Roman" w:cs="Times New Roman"/>
          <w:sz w:val="24"/>
          <w:szCs w:val="24"/>
          <w:lang w:val="en-US"/>
        </w:rPr>
        <w:t xml:space="preserve">he </w:t>
      </w:r>
      <w:r>
        <w:rPr>
          <w:rFonts w:ascii="Times New Roman" w:eastAsia="Calibri" w:hAnsi="Times New Roman" w:cs="Times New Roman"/>
          <w:sz w:val="24"/>
          <w:szCs w:val="24"/>
          <w:lang w:val="en-US"/>
        </w:rPr>
        <w:t>criteria</w:t>
      </w:r>
      <w:r w:rsidRPr="0063061C">
        <w:rPr>
          <w:rFonts w:ascii="Times New Roman" w:eastAsia="Calibri" w:hAnsi="Times New Roman" w:cs="Times New Roman"/>
          <w:sz w:val="24"/>
          <w:szCs w:val="24"/>
          <w:lang w:val="en-US"/>
        </w:rPr>
        <w:t xml:space="preserve"> for the counterparties and instruments</w:t>
      </w:r>
      <w:r>
        <w:rPr>
          <w:rFonts w:ascii="Times New Roman" w:eastAsia="Calibri" w:hAnsi="Times New Roman" w:cs="Times New Roman"/>
          <w:sz w:val="24"/>
          <w:szCs w:val="24"/>
          <w:lang w:val="en-US"/>
        </w:rPr>
        <w:t xml:space="preserve"> appropriate</w:t>
      </w:r>
      <w:r w:rsidRPr="0063061C">
        <w:rPr>
          <w:rFonts w:ascii="Times New Roman" w:eastAsia="Calibri" w:hAnsi="Times New Roman" w:cs="Times New Roman"/>
          <w:sz w:val="24"/>
          <w:szCs w:val="24"/>
          <w:lang w:val="en-US"/>
        </w:rPr>
        <w:t xml:space="preserve"> for the </w:t>
      </w:r>
      <w:r w:rsidRPr="0063061C">
        <w:rPr>
          <w:rFonts w:ascii="Times New Roman" w:hAnsi="Times New Roman" w:cs="Times New Roman"/>
          <w:sz w:val="24"/>
          <w:szCs w:val="24"/>
          <w:lang w:val="en-US"/>
        </w:rPr>
        <w:t>investment</w:t>
      </w:r>
      <w:r w:rsidRPr="0063061C">
        <w:rPr>
          <w:rFonts w:ascii="Times New Roman" w:eastAsia="Calibri" w:hAnsi="Times New Roman" w:cs="Times New Roman"/>
          <w:sz w:val="24"/>
          <w:szCs w:val="24"/>
          <w:lang w:val="en-US"/>
        </w:rPr>
        <w:t xml:space="preserve"> activities </w:t>
      </w:r>
      <w:r>
        <w:rPr>
          <w:rFonts w:ascii="Times New Roman" w:eastAsia="Calibri" w:hAnsi="Times New Roman" w:cs="Times New Roman"/>
          <w:sz w:val="24"/>
          <w:szCs w:val="24"/>
          <w:lang w:val="en-US"/>
        </w:rPr>
        <w:t>as well as tenor limits considering the market liquidity of the instruments</w:t>
      </w:r>
      <w:r w:rsidRPr="0063061C">
        <w:rPr>
          <w:rFonts w:ascii="Times New Roman" w:eastAsia="Calibri" w:hAnsi="Times New Roman" w:cs="Times New Roman"/>
          <w:sz w:val="24"/>
          <w:szCs w:val="24"/>
          <w:lang w:val="en-US"/>
        </w:rPr>
        <w:t xml:space="preserve"> were approved by the NCC’s Supervisory Board</w:t>
      </w:r>
      <w:r>
        <w:rPr>
          <w:rFonts w:ascii="Times New Roman" w:eastAsia="Calibri" w:hAnsi="Times New Roman" w:cs="Times New Roman"/>
          <w:sz w:val="24"/>
          <w:szCs w:val="24"/>
          <w:lang w:val="en-US"/>
        </w:rPr>
        <w:t>.</w:t>
      </w:r>
    </w:p>
    <w:p w:rsidR="00D55472" w:rsidRPr="0063061C" w:rsidRDefault="00D55472" w:rsidP="00D55472">
      <w:pPr>
        <w:spacing w:after="120" w:line="240" w:lineRule="auto"/>
        <w:ind w:firstLine="567"/>
        <w:jc w:val="both"/>
        <w:rPr>
          <w:rFonts w:ascii="Times New Roman" w:hAnsi="Times New Roman" w:cs="Times New Roman"/>
          <w:sz w:val="24"/>
          <w:szCs w:val="24"/>
          <w:lang w:val="en-US"/>
        </w:rPr>
      </w:pPr>
      <w:r w:rsidRPr="0063061C">
        <w:rPr>
          <w:rFonts w:ascii="Times New Roman" w:hAnsi="Times New Roman" w:cs="Times New Roman"/>
          <w:sz w:val="24"/>
          <w:szCs w:val="24"/>
          <w:lang w:val="en-US"/>
        </w:rPr>
        <w:t>The basic</w:t>
      </w:r>
      <w:r>
        <w:rPr>
          <w:rFonts w:ascii="Times New Roman" w:hAnsi="Times New Roman" w:cs="Times New Roman"/>
          <w:sz w:val="24"/>
          <w:szCs w:val="24"/>
          <w:lang w:val="en-US"/>
        </w:rPr>
        <w:t xml:space="preserve"> principles</w:t>
      </w:r>
      <w:r w:rsidRPr="0063061C">
        <w:rPr>
          <w:rFonts w:ascii="Times New Roman" w:hAnsi="Times New Roman" w:cs="Times New Roman"/>
          <w:sz w:val="24"/>
          <w:szCs w:val="24"/>
          <w:lang w:val="en-US"/>
        </w:rPr>
        <w:t xml:space="preserve"> of NCC’s investment policy provide</w:t>
      </w:r>
      <w:r>
        <w:rPr>
          <w:rFonts w:ascii="Times New Roman" w:hAnsi="Times New Roman" w:cs="Times New Roman"/>
          <w:sz w:val="24"/>
          <w:szCs w:val="24"/>
          <w:lang w:val="en-US"/>
        </w:rPr>
        <w:t xml:space="preserve"> a </w:t>
      </w:r>
      <w:r w:rsidRPr="0063061C">
        <w:rPr>
          <w:rFonts w:ascii="Times New Roman" w:hAnsi="Times New Roman" w:cs="Times New Roman"/>
          <w:sz w:val="24"/>
          <w:szCs w:val="24"/>
          <w:lang w:val="en-US"/>
        </w:rPr>
        <w:t>sufficient return on assets with</w:t>
      </w:r>
      <w:r>
        <w:rPr>
          <w:rFonts w:ascii="Times New Roman" w:hAnsi="Times New Roman" w:cs="Times New Roman"/>
          <w:sz w:val="24"/>
          <w:szCs w:val="24"/>
          <w:lang w:val="en-US"/>
        </w:rPr>
        <w:t xml:space="preserve"> a </w:t>
      </w:r>
      <w:r w:rsidRPr="0063061C">
        <w:rPr>
          <w:rFonts w:ascii="Times New Roman" w:hAnsi="Times New Roman" w:cs="Times New Roman"/>
          <w:sz w:val="24"/>
          <w:szCs w:val="24"/>
          <w:lang w:val="en-US"/>
        </w:rPr>
        <w:t>moderate risk level, as it is shown in the tables:</w:t>
      </w:r>
    </w:p>
    <w:p w:rsidR="00D55472" w:rsidRPr="0063061C" w:rsidRDefault="00D55472" w:rsidP="00D55472">
      <w:pPr>
        <w:spacing w:after="120" w:line="240" w:lineRule="auto"/>
        <w:jc w:val="center"/>
        <w:rPr>
          <w:rFonts w:ascii="Times New Roman" w:hAnsi="Times New Roman" w:cs="Times New Roman"/>
          <w:b/>
          <w:i/>
          <w:sz w:val="24"/>
          <w:szCs w:val="24"/>
          <w:lang w:val="en-US"/>
        </w:rPr>
      </w:pPr>
      <w:r w:rsidRPr="0063061C">
        <w:rPr>
          <w:rFonts w:ascii="Times New Roman" w:hAnsi="Times New Roman" w:cs="Times New Roman"/>
          <w:b/>
          <w:i/>
          <w:noProof/>
          <w:sz w:val="24"/>
          <w:szCs w:val="24"/>
          <w:lang w:eastAsia="ru-RU"/>
        </w:rPr>
        <w:drawing>
          <wp:inline distT="0" distB="0" distL="0" distR="0" wp14:anchorId="6DC80AE2" wp14:editId="2E566A93">
            <wp:extent cx="5931038" cy="1857375"/>
            <wp:effectExtent l="0" t="0" r="0" b="0"/>
            <wp:docPr id="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5931038" cy="1857375"/>
                    </a:xfrm>
                    <a:prstGeom prst="rect">
                      <a:avLst/>
                    </a:prstGeom>
                    <a:noFill/>
                    <a:ln w="9525">
                      <a:noFill/>
                      <a:miter lim="800000"/>
                      <a:headEnd/>
                      <a:tailEnd/>
                    </a:ln>
                  </pic:spPr>
                </pic:pic>
              </a:graphicData>
            </a:graphic>
          </wp:inline>
        </w:drawing>
      </w:r>
    </w:p>
    <w:tbl>
      <w:tblPr>
        <w:tblStyle w:val="12"/>
        <w:tblW w:w="9214" w:type="dxa"/>
        <w:tblInd w:w="108" w:type="dxa"/>
        <w:shd w:val="clear" w:color="auto" w:fill="C6D9F1" w:themeFill="text2" w:themeFillTint="33"/>
        <w:tblLook w:val="0600" w:firstRow="0" w:lastRow="0" w:firstColumn="0" w:lastColumn="0" w:noHBand="1" w:noVBand="1"/>
      </w:tblPr>
      <w:tblGrid>
        <w:gridCol w:w="4077"/>
        <w:gridCol w:w="2576"/>
        <w:gridCol w:w="2561"/>
      </w:tblGrid>
      <w:tr w:rsidR="00D55472" w:rsidRPr="0063061C" w:rsidTr="005B4876">
        <w:trPr>
          <w:trHeight w:val="20"/>
        </w:trPr>
        <w:tc>
          <w:tcPr>
            <w:tcW w:w="9214" w:type="dxa"/>
            <w:gridSpan w:val="3"/>
            <w:shd w:val="clear" w:color="auto" w:fill="C6D9F1" w:themeFill="text2" w:themeFillTint="33"/>
            <w:hideMark/>
          </w:tcPr>
          <w:p w:rsidR="00D55472" w:rsidRPr="0063061C" w:rsidRDefault="00D55472" w:rsidP="005B4876">
            <w:pPr>
              <w:jc w:val="center"/>
              <w:textAlignment w:val="center"/>
              <w:rPr>
                <w:rFonts w:ascii="Times New Roman" w:eastAsia="Times New Roman" w:hAnsi="Times New Roman" w:cs="Times New Roman"/>
                <w:sz w:val="20"/>
                <w:szCs w:val="20"/>
                <w:lang w:val="en-US" w:eastAsia="ru-RU"/>
              </w:rPr>
            </w:pPr>
            <w:r>
              <w:rPr>
                <w:rFonts w:ascii="Times New Roman" w:eastAsia="MS PGothic" w:hAnsi="Times New Roman" w:cs="Times New Roman"/>
                <w:b/>
                <w:bCs/>
                <w:kern w:val="24"/>
                <w:sz w:val="20"/>
                <w:szCs w:val="20"/>
                <w:lang w:val="en-US" w:eastAsia="ru-RU"/>
              </w:rPr>
              <w:t>Tenor limits</w:t>
            </w:r>
            <w:r w:rsidRPr="0063061C">
              <w:rPr>
                <w:rFonts w:ascii="Times New Roman" w:eastAsia="MS PGothic" w:hAnsi="Times New Roman" w:cs="Times New Roman"/>
                <w:b/>
                <w:bCs/>
                <w:kern w:val="24"/>
                <w:sz w:val="20"/>
                <w:szCs w:val="20"/>
                <w:lang w:val="en-US" w:eastAsia="ru-RU"/>
              </w:rPr>
              <w:t xml:space="preserve"> </w:t>
            </w:r>
          </w:p>
        </w:tc>
      </w:tr>
      <w:tr w:rsidR="00D55472" w:rsidRPr="0063061C" w:rsidTr="005B4876">
        <w:trPr>
          <w:trHeight w:val="20"/>
        </w:trPr>
        <w:tc>
          <w:tcPr>
            <w:tcW w:w="4077" w:type="dxa"/>
            <w:shd w:val="clear" w:color="auto" w:fill="C6D9F1" w:themeFill="text2" w:themeFillTint="33"/>
            <w:hideMark/>
          </w:tcPr>
          <w:p w:rsidR="00D55472" w:rsidRPr="0063061C" w:rsidRDefault="00D55472" w:rsidP="005B4876">
            <w:pPr>
              <w:jc w:val="both"/>
              <w:textAlignment w:val="center"/>
              <w:rPr>
                <w:rFonts w:ascii="Times New Roman" w:eastAsia="Times New Roman" w:hAnsi="Times New Roman" w:cs="Times New Roman"/>
                <w:sz w:val="20"/>
                <w:szCs w:val="20"/>
                <w:lang w:val="en-US" w:eastAsia="ru-RU"/>
              </w:rPr>
            </w:pPr>
            <w:r w:rsidRPr="0063061C">
              <w:rPr>
                <w:rFonts w:ascii="Times New Roman" w:eastAsia="MS PGothic" w:hAnsi="Times New Roman" w:cs="Times New Roman"/>
                <w:kern w:val="24"/>
                <w:sz w:val="20"/>
                <w:szCs w:val="20"/>
                <w:lang w:val="en-US" w:eastAsia="ru-RU"/>
              </w:rPr>
              <w:t>Maximum maturity</w:t>
            </w:r>
          </w:p>
        </w:tc>
        <w:tc>
          <w:tcPr>
            <w:tcW w:w="5137" w:type="dxa"/>
            <w:gridSpan w:val="2"/>
            <w:shd w:val="clear" w:color="auto" w:fill="C6D9F1" w:themeFill="text2" w:themeFillTint="33"/>
            <w:hideMark/>
          </w:tcPr>
          <w:p w:rsidR="00D55472" w:rsidRPr="0063061C" w:rsidRDefault="00D55472" w:rsidP="005B4876">
            <w:pPr>
              <w:jc w:val="center"/>
              <w:textAlignment w:val="center"/>
              <w:rPr>
                <w:rFonts w:ascii="Times New Roman" w:eastAsia="Times New Roman" w:hAnsi="Times New Roman" w:cs="Times New Roman"/>
                <w:sz w:val="20"/>
                <w:szCs w:val="20"/>
                <w:lang w:val="en-US" w:eastAsia="ru-RU"/>
              </w:rPr>
            </w:pPr>
            <w:r w:rsidRPr="0063061C">
              <w:rPr>
                <w:rFonts w:ascii="Times New Roman" w:eastAsia="MS PGothic" w:hAnsi="Times New Roman" w:cs="Times New Roman"/>
                <w:kern w:val="24"/>
                <w:sz w:val="20"/>
                <w:szCs w:val="20"/>
                <w:lang w:val="en-US" w:eastAsia="ru-RU"/>
              </w:rPr>
              <w:t>1.5 year</w:t>
            </w:r>
          </w:p>
        </w:tc>
      </w:tr>
      <w:tr w:rsidR="00D55472" w:rsidRPr="009F55B7" w:rsidTr="005B4876">
        <w:trPr>
          <w:trHeight w:val="20"/>
        </w:trPr>
        <w:tc>
          <w:tcPr>
            <w:tcW w:w="4077" w:type="dxa"/>
            <w:shd w:val="clear" w:color="auto" w:fill="C6D9F1" w:themeFill="text2" w:themeFillTint="33"/>
            <w:hideMark/>
          </w:tcPr>
          <w:p w:rsidR="00D55472" w:rsidRPr="0063061C" w:rsidRDefault="00D55472" w:rsidP="005B4876">
            <w:pPr>
              <w:jc w:val="both"/>
              <w:textAlignment w:val="center"/>
              <w:rPr>
                <w:rFonts w:ascii="Times New Roman" w:eastAsia="Times New Roman" w:hAnsi="Times New Roman" w:cs="Times New Roman"/>
                <w:sz w:val="20"/>
                <w:szCs w:val="20"/>
                <w:lang w:val="en-US" w:eastAsia="ru-RU"/>
              </w:rPr>
            </w:pPr>
            <w:r w:rsidRPr="0063061C">
              <w:rPr>
                <w:rFonts w:ascii="Times New Roman" w:eastAsia="MS PGothic" w:hAnsi="Times New Roman" w:cs="Times New Roman"/>
                <w:kern w:val="24"/>
                <w:sz w:val="20"/>
                <w:szCs w:val="20"/>
                <w:lang w:val="en-US" w:eastAsia="ru-RU"/>
              </w:rPr>
              <w:t>Repo trades with bonds</w:t>
            </w:r>
          </w:p>
        </w:tc>
        <w:tc>
          <w:tcPr>
            <w:tcW w:w="5137" w:type="dxa"/>
            <w:gridSpan w:val="2"/>
            <w:shd w:val="clear" w:color="auto" w:fill="C6D9F1" w:themeFill="text2" w:themeFillTint="33"/>
            <w:hideMark/>
          </w:tcPr>
          <w:p w:rsidR="00D55472" w:rsidRPr="0063061C" w:rsidRDefault="00D55472" w:rsidP="005B4876">
            <w:pPr>
              <w:jc w:val="center"/>
              <w:textAlignment w:val="center"/>
              <w:rPr>
                <w:rFonts w:ascii="Times New Roman" w:eastAsia="Times New Roman" w:hAnsi="Times New Roman" w:cs="Times New Roman"/>
                <w:sz w:val="20"/>
                <w:szCs w:val="20"/>
                <w:lang w:val="en-US" w:eastAsia="ru-RU"/>
              </w:rPr>
            </w:pPr>
            <w:r w:rsidRPr="0063061C">
              <w:rPr>
                <w:rFonts w:ascii="Times New Roman" w:eastAsia="MS PGothic" w:hAnsi="Times New Roman" w:cs="Times New Roman"/>
                <w:kern w:val="24"/>
                <w:sz w:val="20"/>
                <w:szCs w:val="20"/>
                <w:lang w:val="en-US" w:eastAsia="ru-RU"/>
              </w:rPr>
              <w:t>Less than 1/2 of a year</w:t>
            </w:r>
          </w:p>
        </w:tc>
      </w:tr>
      <w:tr w:rsidR="00D55472" w:rsidRPr="009F55B7" w:rsidTr="005B4876">
        <w:trPr>
          <w:trHeight w:val="20"/>
        </w:trPr>
        <w:tc>
          <w:tcPr>
            <w:tcW w:w="4077" w:type="dxa"/>
            <w:shd w:val="clear" w:color="auto" w:fill="C6D9F1" w:themeFill="text2" w:themeFillTint="33"/>
            <w:hideMark/>
          </w:tcPr>
          <w:p w:rsidR="00D55472" w:rsidRPr="0063061C" w:rsidRDefault="00D55472" w:rsidP="005B4876">
            <w:pPr>
              <w:jc w:val="both"/>
              <w:textAlignment w:val="center"/>
              <w:rPr>
                <w:rFonts w:ascii="Times New Roman" w:eastAsia="Times New Roman" w:hAnsi="Times New Roman" w:cs="Times New Roman"/>
                <w:sz w:val="20"/>
                <w:szCs w:val="20"/>
                <w:lang w:val="en-US" w:eastAsia="ru-RU"/>
              </w:rPr>
            </w:pPr>
            <w:r w:rsidRPr="0063061C">
              <w:rPr>
                <w:rFonts w:ascii="Times New Roman" w:eastAsia="MS PGothic" w:hAnsi="Times New Roman" w:cs="Times New Roman"/>
                <w:kern w:val="24"/>
                <w:sz w:val="20"/>
                <w:szCs w:val="20"/>
                <w:lang w:val="en-US" w:eastAsia="ru-RU"/>
              </w:rPr>
              <w:t>Trades Currency Swap</w:t>
            </w:r>
          </w:p>
        </w:tc>
        <w:tc>
          <w:tcPr>
            <w:tcW w:w="5137" w:type="dxa"/>
            <w:gridSpan w:val="2"/>
            <w:shd w:val="clear" w:color="auto" w:fill="C6D9F1" w:themeFill="text2" w:themeFillTint="33"/>
            <w:hideMark/>
          </w:tcPr>
          <w:p w:rsidR="00D55472" w:rsidRPr="0063061C" w:rsidRDefault="00D55472" w:rsidP="005B4876">
            <w:pPr>
              <w:jc w:val="center"/>
              <w:textAlignment w:val="center"/>
              <w:rPr>
                <w:rFonts w:ascii="Times New Roman" w:eastAsia="Times New Roman" w:hAnsi="Times New Roman" w:cs="Times New Roman"/>
                <w:sz w:val="20"/>
                <w:szCs w:val="20"/>
                <w:lang w:val="en-US" w:eastAsia="ru-RU"/>
              </w:rPr>
            </w:pPr>
            <w:r w:rsidRPr="0063061C">
              <w:rPr>
                <w:rFonts w:ascii="Times New Roman" w:eastAsia="MS PGothic" w:hAnsi="Times New Roman" w:cs="Times New Roman"/>
                <w:kern w:val="24"/>
                <w:sz w:val="20"/>
                <w:szCs w:val="20"/>
                <w:lang w:val="en-US" w:eastAsia="ru-RU"/>
              </w:rPr>
              <w:t>Less than 1/2 of a year</w:t>
            </w:r>
          </w:p>
        </w:tc>
      </w:tr>
      <w:tr w:rsidR="00D55472" w:rsidRPr="009F55B7" w:rsidTr="005B4876">
        <w:trPr>
          <w:trHeight w:val="20"/>
        </w:trPr>
        <w:tc>
          <w:tcPr>
            <w:tcW w:w="4077" w:type="dxa"/>
            <w:shd w:val="clear" w:color="auto" w:fill="C6D9F1" w:themeFill="text2" w:themeFillTint="33"/>
            <w:hideMark/>
          </w:tcPr>
          <w:p w:rsidR="00D55472" w:rsidRPr="0063061C" w:rsidRDefault="00D55472" w:rsidP="005B4876">
            <w:pPr>
              <w:jc w:val="center"/>
              <w:textAlignment w:val="center"/>
              <w:rPr>
                <w:rFonts w:ascii="Times New Roman" w:eastAsia="Times New Roman" w:hAnsi="Times New Roman" w:cs="Times New Roman"/>
                <w:sz w:val="20"/>
                <w:szCs w:val="20"/>
                <w:lang w:val="en-US" w:eastAsia="ru-RU"/>
              </w:rPr>
            </w:pPr>
            <w:r w:rsidRPr="0063061C">
              <w:rPr>
                <w:rFonts w:ascii="Times New Roman" w:eastAsia="MS PGothic" w:hAnsi="Times New Roman" w:cs="Times New Roman"/>
                <w:b/>
                <w:bCs/>
                <w:kern w:val="24"/>
                <w:sz w:val="20"/>
                <w:szCs w:val="20"/>
                <w:lang w:val="en-US" w:eastAsia="ru-RU"/>
              </w:rPr>
              <w:t> </w:t>
            </w:r>
          </w:p>
        </w:tc>
        <w:tc>
          <w:tcPr>
            <w:tcW w:w="2576" w:type="dxa"/>
            <w:shd w:val="clear" w:color="auto" w:fill="C6D9F1" w:themeFill="text2" w:themeFillTint="33"/>
            <w:hideMark/>
          </w:tcPr>
          <w:p w:rsidR="00D55472" w:rsidRPr="0063061C" w:rsidRDefault="00D55472" w:rsidP="005B4876">
            <w:pPr>
              <w:jc w:val="center"/>
              <w:textAlignment w:val="center"/>
              <w:rPr>
                <w:rFonts w:ascii="Times New Roman" w:eastAsia="Times New Roman" w:hAnsi="Times New Roman" w:cs="Times New Roman"/>
                <w:sz w:val="20"/>
                <w:szCs w:val="20"/>
                <w:lang w:val="en-US" w:eastAsia="ru-RU"/>
              </w:rPr>
            </w:pPr>
            <w:r w:rsidRPr="0063061C">
              <w:rPr>
                <w:rFonts w:ascii="Times New Roman" w:eastAsia="MS PGothic" w:hAnsi="Times New Roman" w:cs="Times New Roman"/>
                <w:bCs/>
                <w:kern w:val="24"/>
                <w:sz w:val="20"/>
                <w:szCs w:val="20"/>
                <w:lang w:val="en-US" w:eastAsia="ru-RU"/>
              </w:rPr>
              <w:t>Usage of owner’s sources</w:t>
            </w:r>
          </w:p>
        </w:tc>
        <w:tc>
          <w:tcPr>
            <w:tcW w:w="2561" w:type="dxa"/>
            <w:shd w:val="clear" w:color="auto" w:fill="C6D9F1" w:themeFill="text2" w:themeFillTint="33"/>
            <w:hideMark/>
          </w:tcPr>
          <w:p w:rsidR="00D55472" w:rsidRPr="0063061C" w:rsidRDefault="00D55472" w:rsidP="005B4876">
            <w:pPr>
              <w:jc w:val="center"/>
              <w:textAlignment w:val="center"/>
              <w:rPr>
                <w:rFonts w:ascii="Times New Roman" w:eastAsia="Times New Roman" w:hAnsi="Times New Roman" w:cs="Times New Roman"/>
                <w:sz w:val="20"/>
                <w:szCs w:val="20"/>
                <w:lang w:val="en-US" w:eastAsia="ru-RU"/>
              </w:rPr>
            </w:pPr>
            <w:r w:rsidRPr="0063061C">
              <w:rPr>
                <w:rFonts w:ascii="Times New Roman" w:eastAsia="MS PGothic" w:hAnsi="Times New Roman" w:cs="Times New Roman"/>
                <w:bCs/>
                <w:kern w:val="24"/>
                <w:sz w:val="20"/>
                <w:szCs w:val="20"/>
                <w:lang w:val="en-US" w:eastAsia="ru-RU"/>
              </w:rPr>
              <w:t>Usage of clearing liabilities (client accounts)</w:t>
            </w:r>
          </w:p>
        </w:tc>
      </w:tr>
      <w:tr w:rsidR="00D55472" w:rsidRPr="009F55B7" w:rsidTr="005B4876">
        <w:trPr>
          <w:trHeight w:val="20"/>
        </w:trPr>
        <w:tc>
          <w:tcPr>
            <w:tcW w:w="4077" w:type="dxa"/>
            <w:shd w:val="clear" w:color="auto" w:fill="C6D9F1" w:themeFill="text2" w:themeFillTint="33"/>
            <w:hideMark/>
          </w:tcPr>
          <w:p w:rsidR="00D55472" w:rsidRPr="0063061C" w:rsidRDefault="00D55472" w:rsidP="005B4876">
            <w:pPr>
              <w:jc w:val="both"/>
              <w:textAlignment w:val="center"/>
              <w:rPr>
                <w:rFonts w:ascii="Times New Roman" w:eastAsia="Times New Roman" w:hAnsi="Times New Roman" w:cs="Times New Roman"/>
                <w:sz w:val="20"/>
                <w:szCs w:val="20"/>
                <w:lang w:val="en-US" w:eastAsia="ru-RU"/>
              </w:rPr>
            </w:pPr>
            <w:r>
              <w:rPr>
                <w:rFonts w:ascii="Times New Roman" w:eastAsia="MS PGothic" w:hAnsi="Times New Roman" w:cs="Times New Roman"/>
                <w:kern w:val="24"/>
                <w:sz w:val="20"/>
                <w:szCs w:val="20"/>
                <w:lang w:val="en-US" w:eastAsia="ru-RU"/>
              </w:rPr>
              <w:t>I</w:t>
            </w:r>
            <w:r w:rsidRPr="0063061C">
              <w:rPr>
                <w:rFonts w:ascii="Times New Roman" w:eastAsia="MS PGothic" w:hAnsi="Times New Roman" w:cs="Times New Roman"/>
                <w:kern w:val="24"/>
                <w:sz w:val="20"/>
                <w:szCs w:val="20"/>
                <w:lang w:val="en-US" w:eastAsia="ru-RU"/>
              </w:rPr>
              <w:t>nterbank deposits</w:t>
            </w:r>
          </w:p>
        </w:tc>
        <w:tc>
          <w:tcPr>
            <w:tcW w:w="2576" w:type="dxa"/>
            <w:shd w:val="clear" w:color="auto" w:fill="C6D9F1" w:themeFill="text2" w:themeFillTint="33"/>
            <w:hideMark/>
          </w:tcPr>
          <w:p w:rsidR="00D55472" w:rsidRPr="0063061C" w:rsidRDefault="00D55472" w:rsidP="005B4876">
            <w:pPr>
              <w:jc w:val="center"/>
              <w:textAlignment w:val="center"/>
              <w:rPr>
                <w:rFonts w:ascii="Times New Roman" w:eastAsia="Times New Roman" w:hAnsi="Times New Roman" w:cs="Times New Roman"/>
                <w:sz w:val="20"/>
                <w:szCs w:val="20"/>
                <w:lang w:val="en-US" w:eastAsia="ru-RU"/>
              </w:rPr>
            </w:pPr>
            <w:r w:rsidRPr="0063061C">
              <w:rPr>
                <w:rFonts w:ascii="Times New Roman" w:eastAsia="MS PGothic" w:hAnsi="Times New Roman" w:cs="Times New Roman"/>
                <w:kern w:val="24"/>
                <w:sz w:val="20"/>
                <w:szCs w:val="20"/>
                <w:lang w:val="en-US" w:eastAsia="ru-RU"/>
              </w:rPr>
              <w:t>Less than 1 year</w:t>
            </w:r>
          </w:p>
        </w:tc>
        <w:tc>
          <w:tcPr>
            <w:tcW w:w="2561" w:type="dxa"/>
            <w:shd w:val="clear" w:color="auto" w:fill="C6D9F1" w:themeFill="text2" w:themeFillTint="33"/>
            <w:hideMark/>
          </w:tcPr>
          <w:p w:rsidR="00D55472" w:rsidRPr="0063061C" w:rsidRDefault="00D55472" w:rsidP="005B4876">
            <w:pPr>
              <w:jc w:val="center"/>
              <w:textAlignment w:val="center"/>
              <w:rPr>
                <w:rFonts w:ascii="Times New Roman" w:eastAsia="Times New Roman" w:hAnsi="Times New Roman" w:cs="Times New Roman"/>
                <w:sz w:val="20"/>
                <w:szCs w:val="20"/>
                <w:lang w:val="en-US" w:eastAsia="ru-RU"/>
              </w:rPr>
            </w:pPr>
            <w:r w:rsidRPr="0063061C">
              <w:rPr>
                <w:rFonts w:ascii="Times New Roman" w:eastAsia="MS PGothic" w:hAnsi="Times New Roman" w:cs="Times New Roman"/>
                <w:kern w:val="24"/>
                <w:sz w:val="20"/>
                <w:szCs w:val="20"/>
                <w:lang w:val="en-US" w:eastAsia="ru-RU"/>
              </w:rPr>
              <w:t>Less than 1/2 of a year</w:t>
            </w:r>
          </w:p>
        </w:tc>
      </w:tr>
      <w:tr w:rsidR="00D55472" w:rsidRPr="009F55B7" w:rsidTr="005B4876">
        <w:trPr>
          <w:trHeight w:val="20"/>
        </w:trPr>
        <w:tc>
          <w:tcPr>
            <w:tcW w:w="4077" w:type="dxa"/>
            <w:shd w:val="clear" w:color="auto" w:fill="C6D9F1" w:themeFill="text2" w:themeFillTint="33"/>
            <w:hideMark/>
          </w:tcPr>
          <w:p w:rsidR="00D55472" w:rsidRPr="0063061C" w:rsidRDefault="00D55472" w:rsidP="005B4876">
            <w:pPr>
              <w:jc w:val="both"/>
              <w:textAlignment w:val="center"/>
              <w:rPr>
                <w:rFonts w:ascii="Times New Roman" w:eastAsia="Times New Roman" w:hAnsi="Times New Roman" w:cs="Times New Roman"/>
                <w:sz w:val="20"/>
                <w:szCs w:val="20"/>
                <w:lang w:val="en-US" w:eastAsia="ru-RU"/>
              </w:rPr>
            </w:pPr>
            <w:r w:rsidRPr="0063061C">
              <w:rPr>
                <w:rFonts w:ascii="Times New Roman" w:eastAsia="MS PGothic" w:hAnsi="Times New Roman" w:cs="Times New Roman"/>
                <w:kern w:val="24"/>
                <w:sz w:val="20"/>
                <w:szCs w:val="20"/>
                <w:lang w:val="en-US" w:eastAsia="ru-RU"/>
              </w:rPr>
              <w:t>Government bonds</w:t>
            </w:r>
          </w:p>
        </w:tc>
        <w:tc>
          <w:tcPr>
            <w:tcW w:w="2576" w:type="dxa"/>
            <w:shd w:val="clear" w:color="auto" w:fill="C6D9F1" w:themeFill="text2" w:themeFillTint="33"/>
            <w:hideMark/>
          </w:tcPr>
          <w:p w:rsidR="00D55472" w:rsidRPr="0063061C" w:rsidRDefault="00D55472" w:rsidP="005B4876">
            <w:pPr>
              <w:jc w:val="center"/>
              <w:textAlignment w:val="center"/>
              <w:rPr>
                <w:rFonts w:ascii="Times New Roman" w:eastAsia="Times New Roman" w:hAnsi="Times New Roman" w:cs="Times New Roman"/>
                <w:sz w:val="20"/>
                <w:szCs w:val="20"/>
                <w:lang w:val="en-US" w:eastAsia="ru-RU"/>
              </w:rPr>
            </w:pPr>
            <w:r w:rsidRPr="0063061C">
              <w:rPr>
                <w:rFonts w:ascii="Times New Roman" w:eastAsia="MS PGothic" w:hAnsi="Times New Roman" w:cs="Times New Roman"/>
                <w:kern w:val="24"/>
                <w:sz w:val="20"/>
                <w:szCs w:val="20"/>
                <w:lang w:val="en-US" w:eastAsia="ru-RU"/>
              </w:rPr>
              <w:t>Less than 1.5 year</w:t>
            </w:r>
          </w:p>
        </w:tc>
        <w:tc>
          <w:tcPr>
            <w:tcW w:w="2561" w:type="dxa"/>
            <w:shd w:val="clear" w:color="auto" w:fill="C6D9F1" w:themeFill="text2" w:themeFillTint="33"/>
            <w:hideMark/>
          </w:tcPr>
          <w:p w:rsidR="00D55472" w:rsidRPr="0063061C" w:rsidRDefault="00D55472" w:rsidP="005B4876">
            <w:pPr>
              <w:jc w:val="center"/>
              <w:textAlignment w:val="center"/>
              <w:rPr>
                <w:rFonts w:ascii="Times New Roman" w:eastAsia="Times New Roman" w:hAnsi="Times New Roman" w:cs="Times New Roman"/>
                <w:sz w:val="20"/>
                <w:szCs w:val="20"/>
                <w:lang w:val="en-US" w:eastAsia="ru-RU"/>
              </w:rPr>
            </w:pPr>
            <w:r w:rsidRPr="0063061C">
              <w:rPr>
                <w:rFonts w:ascii="Times New Roman" w:eastAsia="MS PGothic" w:hAnsi="Times New Roman" w:cs="Times New Roman"/>
                <w:kern w:val="24"/>
                <w:sz w:val="20"/>
                <w:szCs w:val="20"/>
                <w:lang w:val="en-US" w:eastAsia="ru-RU"/>
              </w:rPr>
              <w:t>Less than 1/2 of a year</w:t>
            </w:r>
          </w:p>
        </w:tc>
      </w:tr>
      <w:tr w:rsidR="00D55472" w:rsidRPr="0063061C" w:rsidTr="005B4876">
        <w:trPr>
          <w:trHeight w:val="20"/>
        </w:trPr>
        <w:tc>
          <w:tcPr>
            <w:tcW w:w="4077" w:type="dxa"/>
            <w:shd w:val="clear" w:color="auto" w:fill="C6D9F1" w:themeFill="text2" w:themeFillTint="33"/>
            <w:hideMark/>
          </w:tcPr>
          <w:p w:rsidR="00D55472" w:rsidRPr="0063061C" w:rsidRDefault="00D55472" w:rsidP="005B4876">
            <w:pPr>
              <w:jc w:val="both"/>
              <w:textAlignment w:val="center"/>
              <w:rPr>
                <w:rFonts w:ascii="Times New Roman" w:eastAsia="Times New Roman" w:hAnsi="Times New Roman" w:cs="Times New Roman"/>
                <w:sz w:val="20"/>
                <w:szCs w:val="20"/>
                <w:lang w:val="en-US" w:eastAsia="ru-RU"/>
              </w:rPr>
            </w:pPr>
            <w:r w:rsidRPr="0063061C">
              <w:rPr>
                <w:rFonts w:ascii="Times New Roman" w:eastAsia="MS PGothic" w:hAnsi="Times New Roman" w:cs="Times New Roman"/>
                <w:kern w:val="24"/>
                <w:sz w:val="20"/>
                <w:szCs w:val="20"/>
                <w:lang w:val="en-US" w:eastAsia="ru-RU"/>
              </w:rPr>
              <w:t xml:space="preserve">Corporate bonds and </w:t>
            </w:r>
            <w:proofErr w:type="spellStart"/>
            <w:r w:rsidRPr="0063061C">
              <w:rPr>
                <w:rFonts w:ascii="Times New Roman" w:eastAsia="MS PGothic" w:hAnsi="Times New Roman" w:cs="Times New Roman"/>
                <w:kern w:val="24"/>
                <w:sz w:val="20"/>
                <w:szCs w:val="20"/>
                <w:lang w:val="en-US" w:eastAsia="ru-RU"/>
              </w:rPr>
              <w:t>subfederal</w:t>
            </w:r>
            <w:proofErr w:type="spellEnd"/>
            <w:r w:rsidRPr="0063061C">
              <w:rPr>
                <w:rFonts w:ascii="Times New Roman" w:eastAsia="MS PGothic" w:hAnsi="Times New Roman" w:cs="Times New Roman"/>
                <w:kern w:val="24"/>
                <w:sz w:val="20"/>
                <w:szCs w:val="20"/>
                <w:lang w:val="en-US" w:eastAsia="ru-RU"/>
              </w:rPr>
              <w:t xml:space="preserve"> loan bonds</w:t>
            </w:r>
          </w:p>
        </w:tc>
        <w:tc>
          <w:tcPr>
            <w:tcW w:w="2576" w:type="dxa"/>
            <w:shd w:val="clear" w:color="auto" w:fill="C6D9F1" w:themeFill="text2" w:themeFillTint="33"/>
            <w:hideMark/>
          </w:tcPr>
          <w:p w:rsidR="00D55472" w:rsidRPr="0063061C" w:rsidRDefault="00D55472" w:rsidP="005B4876">
            <w:pPr>
              <w:jc w:val="center"/>
              <w:textAlignment w:val="center"/>
              <w:rPr>
                <w:rFonts w:ascii="Times New Roman" w:eastAsia="Times New Roman" w:hAnsi="Times New Roman" w:cs="Times New Roman"/>
                <w:sz w:val="20"/>
                <w:szCs w:val="20"/>
                <w:lang w:val="en-US" w:eastAsia="ru-RU"/>
              </w:rPr>
            </w:pPr>
            <w:r w:rsidRPr="0063061C">
              <w:rPr>
                <w:rFonts w:ascii="Times New Roman" w:eastAsia="MS PGothic" w:hAnsi="Times New Roman" w:cs="Times New Roman"/>
                <w:kern w:val="24"/>
                <w:sz w:val="20"/>
                <w:szCs w:val="20"/>
                <w:lang w:val="en-US" w:eastAsia="ru-RU"/>
              </w:rPr>
              <w:t>Less than 1.5 year</w:t>
            </w:r>
          </w:p>
        </w:tc>
        <w:tc>
          <w:tcPr>
            <w:tcW w:w="2561" w:type="dxa"/>
            <w:shd w:val="clear" w:color="auto" w:fill="C6D9F1" w:themeFill="text2" w:themeFillTint="33"/>
            <w:hideMark/>
          </w:tcPr>
          <w:p w:rsidR="00D55472" w:rsidRPr="0063061C" w:rsidRDefault="00D55472" w:rsidP="005B4876">
            <w:pPr>
              <w:jc w:val="center"/>
              <w:textAlignment w:val="center"/>
              <w:rPr>
                <w:rFonts w:ascii="Times New Roman" w:eastAsia="Times New Roman" w:hAnsi="Times New Roman" w:cs="Times New Roman"/>
                <w:sz w:val="20"/>
                <w:szCs w:val="20"/>
                <w:lang w:val="en-US" w:eastAsia="ru-RU"/>
              </w:rPr>
            </w:pPr>
            <w:r w:rsidRPr="0063061C">
              <w:rPr>
                <w:rFonts w:ascii="Times New Roman" w:eastAsia="MS PGothic" w:hAnsi="Times New Roman" w:cs="Times New Roman"/>
                <w:kern w:val="24"/>
                <w:sz w:val="20"/>
                <w:szCs w:val="20"/>
                <w:lang w:val="en-US" w:eastAsia="ru-RU"/>
              </w:rPr>
              <w:t>Less than 1.5 year</w:t>
            </w:r>
          </w:p>
        </w:tc>
      </w:tr>
    </w:tbl>
    <w:p w:rsidR="00D55472" w:rsidRPr="0063061C" w:rsidRDefault="00D55472" w:rsidP="00D55472">
      <w:pPr>
        <w:spacing w:after="120" w:line="240" w:lineRule="auto"/>
        <w:ind w:firstLine="567"/>
        <w:jc w:val="both"/>
        <w:rPr>
          <w:rFonts w:ascii="Times New Roman" w:hAnsi="Times New Roman" w:cs="Times New Roman"/>
          <w:sz w:val="24"/>
          <w:szCs w:val="24"/>
          <w:lang w:val="en-US"/>
        </w:rPr>
      </w:pPr>
    </w:p>
    <w:p w:rsidR="00D55472" w:rsidRPr="0063061C" w:rsidRDefault="00D55472" w:rsidP="00D55472">
      <w:pPr>
        <w:spacing w:after="12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most important</w:t>
      </w:r>
      <w:r w:rsidRPr="003161C5">
        <w:rPr>
          <w:rFonts w:ascii="Times New Roman" w:hAnsi="Times New Roman" w:cs="Times New Roman"/>
          <w:sz w:val="24"/>
          <w:szCs w:val="24"/>
          <w:lang w:val="en-US"/>
        </w:rPr>
        <w:t xml:space="preserve"> element </w:t>
      </w:r>
      <w:r>
        <w:rPr>
          <w:rFonts w:ascii="Times New Roman" w:hAnsi="Times New Roman" w:cs="Times New Roman"/>
          <w:sz w:val="24"/>
          <w:szCs w:val="24"/>
          <w:lang w:val="en-US"/>
        </w:rPr>
        <w:t xml:space="preserve">in controlling </w:t>
      </w:r>
      <w:r w:rsidRPr="003161C5">
        <w:rPr>
          <w:rFonts w:ascii="Times New Roman" w:hAnsi="Times New Roman" w:cs="Times New Roman"/>
          <w:sz w:val="24"/>
          <w:szCs w:val="24"/>
          <w:lang w:val="en-US"/>
        </w:rPr>
        <w:t>credit risks</w:t>
      </w:r>
      <w:r>
        <w:rPr>
          <w:rFonts w:ascii="Times New Roman" w:hAnsi="Times New Roman" w:cs="Times New Roman"/>
          <w:sz w:val="24"/>
          <w:szCs w:val="24"/>
          <w:lang w:val="en-US"/>
        </w:rPr>
        <w:t>,</w:t>
      </w:r>
      <w:r w:rsidRPr="003161C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arisen from investment of </w:t>
      </w:r>
      <w:r w:rsidRPr="003161C5">
        <w:rPr>
          <w:rFonts w:ascii="Times New Roman" w:hAnsi="Times New Roman" w:cs="Times New Roman"/>
          <w:sz w:val="24"/>
          <w:szCs w:val="24"/>
          <w:lang w:val="en-US"/>
        </w:rPr>
        <w:t xml:space="preserve">Bank’s </w:t>
      </w:r>
      <w:r>
        <w:rPr>
          <w:rFonts w:ascii="Times New Roman" w:hAnsi="Times New Roman" w:cs="Times New Roman"/>
          <w:sz w:val="24"/>
          <w:szCs w:val="24"/>
          <w:lang w:val="en-US"/>
        </w:rPr>
        <w:t>funds,</w:t>
      </w:r>
      <w:r w:rsidRPr="003161C5">
        <w:rPr>
          <w:rFonts w:ascii="Times New Roman" w:hAnsi="Times New Roman" w:cs="Times New Roman"/>
          <w:sz w:val="24"/>
          <w:szCs w:val="24"/>
          <w:lang w:val="en-US"/>
        </w:rPr>
        <w:t xml:space="preserve"> is </w:t>
      </w:r>
      <w:r>
        <w:rPr>
          <w:rFonts w:ascii="Times New Roman" w:hAnsi="Times New Roman" w:cs="Times New Roman"/>
          <w:sz w:val="24"/>
          <w:szCs w:val="24"/>
          <w:lang w:val="en-US"/>
        </w:rPr>
        <w:t>setting</w:t>
      </w:r>
      <w:r w:rsidRPr="003161C5">
        <w:rPr>
          <w:rFonts w:ascii="Times New Roman" w:hAnsi="Times New Roman" w:cs="Times New Roman"/>
          <w:sz w:val="24"/>
          <w:szCs w:val="24"/>
          <w:lang w:val="en-US"/>
        </w:rPr>
        <w:t xml:space="preserve"> limit</w:t>
      </w:r>
      <w:r>
        <w:rPr>
          <w:rFonts w:ascii="Times New Roman" w:hAnsi="Times New Roman" w:cs="Times New Roman"/>
          <w:sz w:val="24"/>
          <w:szCs w:val="24"/>
          <w:lang w:val="en-US"/>
        </w:rPr>
        <w:t>s</w:t>
      </w:r>
      <w:r w:rsidRPr="003161C5">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3161C5">
        <w:rPr>
          <w:rFonts w:ascii="Times New Roman" w:hAnsi="Times New Roman" w:cs="Times New Roman"/>
          <w:sz w:val="24"/>
          <w:szCs w:val="24"/>
          <w:lang w:val="en-US"/>
        </w:rPr>
        <w:t xml:space="preserve"> treasury operations</w:t>
      </w:r>
      <w:r>
        <w:rPr>
          <w:rFonts w:ascii="Times New Roman" w:hAnsi="Times New Roman" w:cs="Times New Roman"/>
          <w:sz w:val="24"/>
          <w:szCs w:val="24"/>
          <w:lang w:val="en-US"/>
        </w:rPr>
        <w:t>. The current system of limits guarantees limiting, ricks assumed by NCC, at the level conforms to assured  implementation  of  the</w:t>
      </w:r>
      <w:r w:rsidRPr="0063061C">
        <w:rPr>
          <w:rFonts w:ascii="Times New Roman" w:hAnsi="Times New Roman" w:cs="Times New Roman"/>
          <w:sz w:val="24"/>
          <w:szCs w:val="24"/>
          <w:lang w:val="en-US"/>
        </w:rPr>
        <w:t xml:space="preserve"> regulatory requirements </w:t>
      </w:r>
      <w:r>
        <w:rPr>
          <w:rFonts w:ascii="Times New Roman" w:hAnsi="Times New Roman" w:cs="Times New Roman"/>
          <w:sz w:val="24"/>
          <w:szCs w:val="24"/>
          <w:lang w:val="en-US"/>
        </w:rPr>
        <w:t>set</w:t>
      </w:r>
      <w:r w:rsidRPr="0063061C">
        <w:rPr>
          <w:rFonts w:ascii="Times New Roman" w:hAnsi="Times New Roman" w:cs="Times New Roman"/>
          <w:sz w:val="24"/>
          <w:szCs w:val="24"/>
          <w:lang w:val="en-US"/>
        </w:rPr>
        <w:t xml:space="preserve"> by the Bank of Russia and </w:t>
      </w:r>
      <w:r>
        <w:rPr>
          <w:rFonts w:ascii="Times New Roman" w:eastAsia="Calibri" w:hAnsi="Times New Roman" w:cs="Times New Roman"/>
          <w:sz w:val="24"/>
          <w:szCs w:val="24"/>
          <w:lang w:val="en-US"/>
        </w:rPr>
        <w:t xml:space="preserve">NCC’s </w:t>
      </w:r>
      <w:r>
        <w:rPr>
          <w:rFonts w:ascii="Times New Roman" w:hAnsi="Times New Roman" w:cs="Times New Roman"/>
          <w:sz w:val="24"/>
          <w:szCs w:val="24"/>
          <w:lang w:val="en-US"/>
        </w:rPr>
        <w:t>internal policies</w:t>
      </w:r>
      <w:r w:rsidRPr="0063061C">
        <w:rPr>
          <w:rFonts w:ascii="Times New Roman" w:hAnsi="Times New Roman" w:cs="Times New Roman"/>
          <w:sz w:val="24"/>
          <w:szCs w:val="24"/>
          <w:lang w:val="en-US"/>
        </w:rPr>
        <w:t xml:space="preserve">. </w:t>
      </w:r>
      <w:r w:rsidR="00CE660D">
        <w:rPr>
          <w:rFonts w:ascii="Times New Roman" w:hAnsi="Times New Roman" w:cs="Times New Roman"/>
          <w:sz w:val="24"/>
          <w:szCs w:val="24"/>
          <w:lang w:val="en-US"/>
        </w:rPr>
        <w:t>The l</w:t>
      </w:r>
      <w:r w:rsidRPr="0063061C">
        <w:rPr>
          <w:rFonts w:ascii="Times New Roman" w:hAnsi="Times New Roman" w:cs="Times New Roman"/>
          <w:sz w:val="24"/>
          <w:szCs w:val="24"/>
          <w:lang w:val="en-US"/>
        </w:rPr>
        <w:t>imit system organization is presented in the table bel</w:t>
      </w:r>
      <w:r>
        <w:rPr>
          <w:rFonts w:ascii="Times New Roman" w:hAnsi="Times New Roman" w:cs="Times New Roman"/>
          <w:sz w:val="24"/>
          <w:szCs w:val="24"/>
          <w:lang w:val="en-US"/>
        </w:rPr>
        <w:t>o</w:t>
      </w:r>
      <w:r w:rsidRPr="0063061C">
        <w:rPr>
          <w:rFonts w:ascii="Times New Roman" w:hAnsi="Times New Roman" w:cs="Times New Roman"/>
          <w:sz w:val="24"/>
          <w:szCs w:val="24"/>
          <w:lang w:val="en-US"/>
        </w:rPr>
        <w:t>w:</w:t>
      </w:r>
    </w:p>
    <w:p w:rsidR="00D55472" w:rsidRPr="0063061C" w:rsidRDefault="00D55472" w:rsidP="00F24DA4">
      <w:pPr>
        <w:spacing w:after="120" w:line="240" w:lineRule="auto"/>
        <w:jc w:val="both"/>
        <w:rPr>
          <w:rFonts w:ascii="Times New Roman" w:eastAsia="Calibri" w:hAnsi="Times New Roman" w:cs="Times New Roman"/>
          <w:sz w:val="24"/>
          <w:szCs w:val="24"/>
          <w:lang w:val="en-US"/>
        </w:rPr>
      </w:pPr>
      <w:r w:rsidRPr="0063061C">
        <w:rPr>
          <w:rFonts w:ascii="Times New Roman" w:hAnsi="Times New Roman" w:cs="Times New Roman"/>
          <w:noProof/>
          <w:sz w:val="24"/>
          <w:szCs w:val="24"/>
          <w:lang w:eastAsia="ru-RU"/>
        </w:rPr>
        <w:drawing>
          <wp:inline distT="0" distB="0" distL="0" distR="0" wp14:anchorId="099D1636" wp14:editId="6A69D1B5">
            <wp:extent cx="5934075" cy="3161820"/>
            <wp:effectExtent l="0" t="0" r="0" b="635"/>
            <wp:docPr id="2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5934075" cy="3161820"/>
                    </a:xfrm>
                    <a:prstGeom prst="rect">
                      <a:avLst/>
                    </a:prstGeom>
                    <a:noFill/>
                    <a:ln w="9525">
                      <a:noFill/>
                      <a:miter lim="800000"/>
                      <a:headEnd/>
                      <a:tailEnd/>
                    </a:ln>
                  </pic:spPr>
                </pic:pic>
              </a:graphicData>
            </a:graphic>
          </wp:inline>
        </w:drawing>
      </w:r>
    </w:p>
    <w:p w:rsidR="00D55472" w:rsidRPr="0063061C" w:rsidRDefault="00D55472" w:rsidP="00D55472">
      <w:pPr>
        <w:spacing w:after="120" w:line="240" w:lineRule="auto"/>
        <w:ind w:firstLine="567"/>
        <w:jc w:val="both"/>
        <w:rPr>
          <w:rFonts w:ascii="Times New Roman" w:hAnsi="Times New Roman" w:cs="Times New Roman"/>
          <w:sz w:val="24"/>
          <w:szCs w:val="24"/>
          <w:lang w:val="en-US" w:eastAsia="ru-RU"/>
        </w:rPr>
      </w:pPr>
      <w:r w:rsidRPr="0063061C">
        <w:rPr>
          <w:rFonts w:ascii="Times New Roman" w:eastAsia="Calibri" w:hAnsi="Times New Roman" w:cs="Times New Roman"/>
          <w:sz w:val="24"/>
          <w:szCs w:val="24"/>
          <w:lang w:val="en-US"/>
        </w:rPr>
        <w:t xml:space="preserve">As </w:t>
      </w:r>
      <w:r>
        <w:rPr>
          <w:rFonts w:ascii="Times New Roman" w:eastAsia="Calibri" w:hAnsi="Times New Roman" w:cs="Times New Roman"/>
          <w:sz w:val="24"/>
          <w:szCs w:val="24"/>
          <w:lang w:val="en-US"/>
        </w:rPr>
        <w:t>of</w:t>
      </w:r>
      <w:r w:rsidRPr="0063061C">
        <w:rPr>
          <w:rFonts w:ascii="Times New Roman" w:eastAsia="Calibri" w:hAnsi="Times New Roman" w:cs="Times New Roman"/>
          <w:sz w:val="24"/>
          <w:szCs w:val="24"/>
          <w:lang w:val="en-US"/>
        </w:rPr>
        <w:t xml:space="preserve"> January</w:t>
      </w:r>
      <w:r>
        <w:rPr>
          <w:rFonts w:ascii="Times New Roman" w:eastAsia="Calibri" w:hAnsi="Times New Roman" w:cs="Times New Roman"/>
          <w:sz w:val="24"/>
          <w:szCs w:val="24"/>
          <w:lang w:val="en-US"/>
        </w:rPr>
        <w:t xml:space="preserve">1, </w:t>
      </w:r>
      <w:r w:rsidRPr="0063061C">
        <w:rPr>
          <w:rFonts w:ascii="Times New Roman" w:eastAsia="Calibri" w:hAnsi="Times New Roman" w:cs="Times New Roman"/>
          <w:sz w:val="24"/>
          <w:szCs w:val="24"/>
          <w:lang w:val="en-US"/>
        </w:rPr>
        <w:t xml:space="preserve">2014, </w:t>
      </w:r>
      <w:r w:rsidRPr="002757E1">
        <w:rPr>
          <w:rFonts w:ascii="Times New Roman" w:eastAsia="Calibri" w:hAnsi="Times New Roman" w:cs="Times New Roman"/>
          <w:sz w:val="24"/>
          <w:szCs w:val="24"/>
          <w:lang w:val="en-US"/>
        </w:rPr>
        <w:t xml:space="preserve">the structure of NCC’s credit risk bearing assets was dominated by </w:t>
      </w:r>
      <w:r>
        <w:rPr>
          <w:rFonts w:ascii="Times New Roman" w:eastAsia="Calibri" w:hAnsi="Times New Roman" w:cs="Times New Roman"/>
          <w:sz w:val="24"/>
          <w:szCs w:val="24"/>
          <w:lang w:val="en-US"/>
        </w:rPr>
        <w:t xml:space="preserve">funds on </w:t>
      </w:r>
      <w:r w:rsidRPr="002757E1">
        <w:rPr>
          <w:rFonts w:ascii="Times New Roman" w:eastAsia="Calibri" w:hAnsi="Times New Roman" w:cs="Times New Roman"/>
          <w:sz w:val="24"/>
          <w:szCs w:val="24"/>
          <w:lang w:val="en-US"/>
        </w:rPr>
        <w:t xml:space="preserve">correspondent accounts </w:t>
      </w:r>
      <w:r>
        <w:rPr>
          <w:rFonts w:ascii="Times New Roman" w:eastAsia="Calibri" w:hAnsi="Times New Roman" w:cs="Times New Roman"/>
          <w:sz w:val="24"/>
          <w:szCs w:val="24"/>
          <w:lang w:val="en-US"/>
        </w:rPr>
        <w:t>of</w:t>
      </w:r>
      <w:r w:rsidRPr="002757E1">
        <w:rPr>
          <w:rFonts w:ascii="Times New Roman" w:eastAsia="Calibri" w:hAnsi="Times New Roman" w:cs="Times New Roman"/>
          <w:sz w:val="24"/>
          <w:szCs w:val="24"/>
          <w:lang w:val="en-US"/>
        </w:rPr>
        <w:t xml:space="preserve"> credit institutions, mainly in major foreign banks, as well as with the most reliable Russian banks (60.7% of assets)</w:t>
      </w:r>
      <w:r w:rsidRPr="0063061C">
        <w:rPr>
          <w:rFonts w:ascii="Times New Roman" w:eastAsia="Calibri" w:hAnsi="Times New Roman" w:cs="Times New Roman"/>
          <w:sz w:val="24"/>
          <w:szCs w:val="24"/>
          <w:lang w:val="en-US"/>
        </w:rPr>
        <w:t xml:space="preserve">. </w:t>
      </w:r>
      <w:r w:rsidRPr="0063061C">
        <w:rPr>
          <w:rFonts w:ascii="Times New Roman" w:hAnsi="Times New Roman" w:cs="Times New Roman"/>
          <w:sz w:val="24"/>
          <w:szCs w:val="24"/>
          <w:lang w:val="en-US" w:eastAsia="ru-RU"/>
        </w:rPr>
        <w:t xml:space="preserve">The largest </w:t>
      </w:r>
      <w:r>
        <w:rPr>
          <w:rFonts w:ascii="Times New Roman" w:hAnsi="Times New Roman" w:cs="Times New Roman"/>
          <w:sz w:val="24"/>
          <w:szCs w:val="24"/>
          <w:lang w:val="en-US" w:eastAsia="ru-RU"/>
        </w:rPr>
        <w:t>portion</w:t>
      </w:r>
      <w:r w:rsidRPr="0063061C">
        <w:rPr>
          <w:rFonts w:ascii="Times New Roman" w:hAnsi="Times New Roman" w:cs="Times New Roman"/>
          <w:sz w:val="24"/>
          <w:szCs w:val="24"/>
          <w:lang w:val="en-US" w:eastAsia="ru-RU"/>
        </w:rPr>
        <w:t xml:space="preserve"> of assets was </w:t>
      </w:r>
      <w:r w:rsidRPr="004A43FC">
        <w:rPr>
          <w:rFonts w:ascii="Times New Roman" w:hAnsi="Times New Roman" w:cs="Times New Roman"/>
          <w:sz w:val="24"/>
          <w:szCs w:val="24"/>
          <w:lang w:val="en-US" w:eastAsia="ru-RU"/>
        </w:rPr>
        <w:t>held</w:t>
      </w:r>
      <w:r w:rsidRPr="006444C6">
        <w:rPr>
          <w:rFonts w:ascii="Times New Roman" w:hAnsi="Times New Roman" w:cs="Times New Roman"/>
          <w:sz w:val="24"/>
          <w:szCs w:val="24"/>
          <w:lang w:val="en-US" w:eastAsia="ru-RU"/>
        </w:rPr>
        <w:t xml:space="preserve"> on correspondent accounts with JP Morgan Chase Bank and its subsidiaries </w:t>
      </w:r>
      <w:r w:rsidRPr="00F80FD3">
        <w:rPr>
          <w:rFonts w:ascii="Times New Roman" w:hAnsi="Times New Roman" w:cs="Times New Roman"/>
          <w:sz w:val="24"/>
          <w:szCs w:val="24"/>
          <w:lang w:val="en-US"/>
        </w:rPr>
        <w:t xml:space="preserve">because this bank is </w:t>
      </w:r>
      <w:r w:rsidR="00CE660D">
        <w:rPr>
          <w:rFonts w:ascii="Times New Roman" w:hAnsi="Times New Roman" w:cs="Times New Roman"/>
          <w:sz w:val="24"/>
          <w:szCs w:val="24"/>
          <w:lang w:val="en-US"/>
        </w:rPr>
        <w:t xml:space="preserve">the </w:t>
      </w:r>
      <w:r w:rsidRPr="00F80FD3">
        <w:rPr>
          <w:rFonts w:ascii="Times New Roman" w:hAnsi="Times New Roman" w:cs="Times New Roman"/>
          <w:sz w:val="24"/>
          <w:szCs w:val="24"/>
          <w:lang w:val="en-US"/>
        </w:rPr>
        <w:t>NCC’s settlement bank on the FX market of the Group</w:t>
      </w:r>
      <w:r w:rsidRPr="004A43FC">
        <w:rPr>
          <w:rFonts w:ascii="Times New Roman" w:hAnsi="Times New Roman" w:cs="Times New Roman"/>
          <w:sz w:val="24"/>
          <w:szCs w:val="24"/>
          <w:lang w:val="en-US" w:eastAsia="ru-RU"/>
        </w:rPr>
        <w:t xml:space="preserve">. </w:t>
      </w:r>
      <w:r w:rsidRPr="006444C6">
        <w:rPr>
          <w:rFonts w:ascii="Times New Roman" w:eastAsia="Calibri" w:hAnsi="Times New Roman" w:cs="Times New Roman"/>
          <w:sz w:val="24"/>
          <w:szCs w:val="24"/>
          <w:lang w:val="en-US"/>
        </w:rPr>
        <w:t>As of January</w:t>
      </w:r>
      <w:r>
        <w:rPr>
          <w:rFonts w:ascii="Times New Roman" w:eastAsia="Calibri" w:hAnsi="Times New Roman" w:cs="Times New Roman"/>
          <w:sz w:val="24"/>
          <w:szCs w:val="24"/>
          <w:lang w:val="en-US"/>
        </w:rPr>
        <w:t xml:space="preserve"> 1,</w:t>
      </w:r>
      <w:r w:rsidRPr="0063061C">
        <w:rPr>
          <w:rFonts w:ascii="Times New Roman" w:eastAsia="Calibri" w:hAnsi="Times New Roman" w:cs="Times New Roman"/>
          <w:sz w:val="24"/>
          <w:szCs w:val="24"/>
          <w:lang w:val="en-US"/>
        </w:rPr>
        <w:t xml:space="preserve"> 2014, the NCC’s loan portfolio was</w:t>
      </w:r>
      <w:r>
        <w:rPr>
          <w:rFonts w:ascii="Times New Roman" w:eastAsia="Calibri" w:hAnsi="Times New Roman" w:cs="Times New Roman"/>
          <w:sz w:val="24"/>
          <w:szCs w:val="24"/>
          <w:lang w:val="en-US"/>
        </w:rPr>
        <w:t xml:space="preserve"> mainly consist of</w:t>
      </w:r>
      <w:r w:rsidRPr="0063061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w:t>
      </w:r>
      <w:r w:rsidRPr="0063061C">
        <w:rPr>
          <w:rFonts w:ascii="Times New Roman" w:eastAsia="Calibri" w:hAnsi="Times New Roman" w:cs="Times New Roman"/>
          <w:sz w:val="24"/>
          <w:szCs w:val="24"/>
          <w:lang w:val="en-US"/>
        </w:rPr>
        <w:t xml:space="preserve">nterbank credits/deposits and comprised </w:t>
      </w:r>
      <w:r w:rsidRPr="0063061C">
        <w:rPr>
          <w:rFonts w:ascii="Times New Roman" w:hAnsi="Times New Roman" w:cs="Times New Roman"/>
          <w:sz w:val="24"/>
          <w:szCs w:val="24"/>
          <w:lang w:val="en-US" w:eastAsia="ru-RU"/>
        </w:rPr>
        <w:t>9.0% of assets.</w:t>
      </w:r>
      <w:r w:rsidRPr="0063061C" w:rsidDel="00C10D1B">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I</w:t>
      </w:r>
      <w:r w:rsidRPr="0063061C">
        <w:rPr>
          <w:rFonts w:ascii="Times New Roman" w:eastAsia="Calibri" w:hAnsi="Times New Roman" w:cs="Times New Roman"/>
          <w:sz w:val="24"/>
          <w:szCs w:val="24"/>
          <w:lang w:val="en-US"/>
        </w:rPr>
        <w:t xml:space="preserve">nvestments in Russian government </w:t>
      </w:r>
      <w:r>
        <w:rPr>
          <w:rFonts w:ascii="Times New Roman" w:eastAsia="Calibri" w:hAnsi="Times New Roman" w:cs="Times New Roman"/>
          <w:sz w:val="24"/>
          <w:szCs w:val="24"/>
          <w:lang w:val="en-US"/>
        </w:rPr>
        <w:t xml:space="preserve">bonds </w:t>
      </w:r>
      <w:r w:rsidRPr="0063061C">
        <w:rPr>
          <w:rFonts w:ascii="Times New Roman" w:eastAsia="Calibri" w:hAnsi="Times New Roman" w:cs="Times New Roman"/>
          <w:sz w:val="24"/>
          <w:szCs w:val="24"/>
          <w:lang w:val="en-US"/>
        </w:rPr>
        <w:t xml:space="preserve">and corporate </w:t>
      </w:r>
      <w:r>
        <w:rPr>
          <w:rFonts w:ascii="Times New Roman" w:eastAsia="Calibri" w:hAnsi="Times New Roman" w:cs="Times New Roman"/>
          <w:sz w:val="24"/>
          <w:szCs w:val="24"/>
          <w:lang w:val="en-US"/>
        </w:rPr>
        <w:t>bonds</w:t>
      </w:r>
      <w:r w:rsidRPr="0063061C">
        <w:rPr>
          <w:rFonts w:ascii="Times New Roman" w:eastAsia="Calibri" w:hAnsi="Times New Roman" w:cs="Times New Roman"/>
          <w:sz w:val="24"/>
          <w:szCs w:val="24"/>
          <w:lang w:val="en-US"/>
        </w:rPr>
        <w:t xml:space="preserve">, as </w:t>
      </w:r>
      <w:r w:rsidRPr="00F80FD3">
        <w:rPr>
          <w:rFonts w:ascii="Times New Roman" w:eastAsia="Calibri" w:hAnsi="Times New Roman" w:cs="Times New Roman"/>
          <w:sz w:val="24"/>
          <w:szCs w:val="24"/>
          <w:lang w:val="en-US"/>
        </w:rPr>
        <w:t>of January 1, 2014</w:t>
      </w:r>
      <w:r w:rsidRPr="0063061C">
        <w:rPr>
          <w:rFonts w:ascii="Times New Roman" w:eastAsia="Calibri" w:hAnsi="Times New Roman" w:cs="Times New Roman"/>
          <w:sz w:val="24"/>
          <w:szCs w:val="24"/>
          <w:lang w:val="en-US"/>
        </w:rPr>
        <w:t xml:space="preserve">, comprised </w:t>
      </w:r>
      <w:r w:rsidRPr="0063061C">
        <w:rPr>
          <w:rFonts w:ascii="Times New Roman" w:hAnsi="Times New Roman" w:cs="Times New Roman"/>
          <w:sz w:val="24"/>
          <w:szCs w:val="24"/>
          <w:lang w:val="en-US" w:eastAsia="ru-RU"/>
        </w:rPr>
        <w:t xml:space="preserve">29.9% of assets. Information related to the distribution of the </w:t>
      </w:r>
      <w:r>
        <w:rPr>
          <w:rFonts w:ascii="Times New Roman" w:hAnsi="Times New Roman" w:cs="Times New Roman"/>
          <w:sz w:val="24"/>
          <w:szCs w:val="24"/>
          <w:lang w:val="en-US" w:eastAsia="ru-RU"/>
        </w:rPr>
        <w:t>(</w:t>
      </w:r>
      <w:r w:rsidRPr="0063061C">
        <w:rPr>
          <w:rFonts w:ascii="Times New Roman" w:hAnsi="Times New Roman" w:cs="Times New Roman"/>
          <w:sz w:val="24"/>
          <w:szCs w:val="24"/>
          <w:lang w:val="en-US" w:eastAsia="ru-RU"/>
        </w:rPr>
        <w:t>whole</w:t>
      </w:r>
      <w:r>
        <w:rPr>
          <w:rFonts w:ascii="Times New Roman" w:hAnsi="Times New Roman" w:cs="Times New Roman"/>
          <w:sz w:val="24"/>
          <w:szCs w:val="24"/>
          <w:lang w:val="en-US" w:eastAsia="ru-RU"/>
        </w:rPr>
        <w:t>)</w:t>
      </w:r>
      <w:r w:rsidRPr="0063061C">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b</w:t>
      </w:r>
      <w:r w:rsidRPr="002757E1">
        <w:rPr>
          <w:rFonts w:ascii="Times New Roman" w:hAnsi="Times New Roman" w:cs="Times New Roman"/>
          <w:sz w:val="24"/>
          <w:szCs w:val="24"/>
          <w:lang w:val="en-US" w:eastAsia="ru-RU"/>
        </w:rPr>
        <w:t>ond portfolio by the issuer’s industry</w:t>
      </w:r>
      <w:r w:rsidRPr="002757E1" w:rsidDel="002757E1">
        <w:rPr>
          <w:rFonts w:ascii="Times New Roman" w:hAnsi="Times New Roman" w:cs="Times New Roman"/>
          <w:sz w:val="24"/>
          <w:szCs w:val="24"/>
          <w:lang w:val="en-US" w:eastAsia="ru-RU"/>
        </w:rPr>
        <w:t xml:space="preserve"> </w:t>
      </w:r>
      <w:r w:rsidRPr="0063061C">
        <w:rPr>
          <w:rFonts w:ascii="Times New Roman" w:hAnsi="Times New Roman" w:cs="Times New Roman"/>
          <w:sz w:val="24"/>
          <w:szCs w:val="24"/>
          <w:lang w:val="en-US" w:eastAsia="ru-RU"/>
        </w:rPr>
        <w:t>is shown in the diagram:</w:t>
      </w:r>
    </w:p>
    <w:p w:rsidR="00D55472" w:rsidRPr="0063061C" w:rsidRDefault="00D55472" w:rsidP="00D55472">
      <w:pPr>
        <w:spacing w:before="100" w:after="120" w:line="240" w:lineRule="auto"/>
        <w:jc w:val="center"/>
        <w:rPr>
          <w:rFonts w:ascii="Times New Roman" w:hAnsi="Times New Roman" w:cs="Times New Roman"/>
          <w:sz w:val="24"/>
          <w:szCs w:val="24"/>
          <w:lang w:val="en-US"/>
        </w:rPr>
      </w:pPr>
      <w:r w:rsidRPr="0063061C">
        <w:rPr>
          <w:rFonts w:ascii="Times New Roman" w:hAnsi="Times New Roman" w:cs="Times New Roman"/>
          <w:noProof/>
          <w:sz w:val="24"/>
          <w:szCs w:val="24"/>
          <w:lang w:eastAsia="ru-RU"/>
        </w:rPr>
        <w:drawing>
          <wp:inline distT="0" distB="0" distL="0" distR="0" wp14:anchorId="45C90685" wp14:editId="4C0BFC60">
            <wp:extent cx="4152098" cy="1933575"/>
            <wp:effectExtent l="19050" t="0" r="802" b="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4152098" cy="1933575"/>
                    </a:xfrm>
                    <a:prstGeom prst="rect">
                      <a:avLst/>
                    </a:prstGeom>
                    <a:noFill/>
                    <a:ln w="9525">
                      <a:noFill/>
                      <a:miter lim="800000"/>
                      <a:headEnd/>
                      <a:tailEnd/>
                    </a:ln>
                  </pic:spPr>
                </pic:pic>
              </a:graphicData>
            </a:graphic>
          </wp:inline>
        </w:drawing>
      </w:r>
    </w:p>
    <w:p w:rsidR="00D55472" w:rsidRPr="0063061C" w:rsidRDefault="00D55472" w:rsidP="00D55472">
      <w:pPr>
        <w:tabs>
          <w:tab w:val="left" w:pos="0"/>
          <w:tab w:val="num" w:pos="567"/>
        </w:tabs>
        <w:spacing w:after="120" w:line="240" w:lineRule="auto"/>
        <w:ind w:firstLine="567"/>
        <w:jc w:val="both"/>
        <w:rPr>
          <w:rFonts w:ascii="Times New Roman" w:hAnsi="Times New Roman" w:cs="Times New Roman"/>
          <w:sz w:val="24"/>
          <w:szCs w:val="24"/>
          <w:lang w:val="en-US"/>
        </w:rPr>
      </w:pPr>
      <w:r w:rsidRPr="0063061C">
        <w:rPr>
          <w:rFonts w:ascii="Times New Roman" w:eastAsia="Calibri" w:hAnsi="Times New Roman" w:cs="Times New Roman"/>
          <w:sz w:val="24"/>
          <w:szCs w:val="24"/>
          <w:lang w:val="en-US"/>
        </w:rPr>
        <w:t xml:space="preserve">In 2013, the credit quality of </w:t>
      </w:r>
      <w:r>
        <w:rPr>
          <w:rFonts w:ascii="Times New Roman" w:eastAsia="Calibri" w:hAnsi="Times New Roman" w:cs="Times New Roman"/>
          <w:sz w:val="24"/>
          <w:szCs w:val="24"/>
          <w:lang w:val="en-US"/>
        </w:rPr>
        <w:t>NCC’s</w:t>
      </w:r>
      <w:r w:rsidRPr="0063061C">
        <w:rPr>
          <w:rFonts w:ascii="Times New Roman" w:eastAsia="Calibri" w:hAnsi="Times New Roman" w:cs="Times New Roman"/>
          <w:sz w:val="24"/>
          <w:szCs w:val="24"/>
          <w:lang w:val="en-US"/>
        </w:rPr>
        <w:t xml:space="preserve"> assets was maintained at a high level. The classification of assets by international credit ratings of S&amp;P is characterized by the following data: </w:t>
      </w:r>
    </w:p>
    <w:tbl>
      <w:tblPr>
        <w:tblW w:w="9102" w:type="dxa"/>
        <w:jc w:val="center"/>
        <w:tblInd w:w="93" w:type="dxa"/>
        <w:tblLook w:val="04A0" w:firstRow="1" w:lastRow="0" w:firstColumn="1" w:lastColumn="0" w:noHBand="0" w:noVBand="1"/>
      </w:tblPr>
      <w:tblGrid>
        <w:gridCol w:w="4769"/>
        <w:gridCol w:w="2480"/>
        <w:gridCol w:w="1853"/>
      </w:tblGrid>
      <w:tr w:rsidR="00D55472" w:rsidRPr="0063061C" w:rsidTr="005B4876">
        <w:trPr>
          <w:trHeight w:val="378"/>
          <w:jc w:val="center"/>
        </w:trPr>
        <w:tc>
          <w:tcPr>
            <w:tcW w:w="4769" w:type="dxa"/>
            <w:tcBorders>
              <w:top w:val="single" w:sz="12" w:space="0" w:color="auto"/>
              <w:left w:val="nil"/>
              <w:bottom w:val="double" w:sz="6" w:space="0" w:color="auto"/>
              <w:right w:val="single" w:sz="4" w:space="0" w:color="auto"/>
            </w:tcBorders>
            <w:shd w:val="clear" w:color="auto" w:fill="auto"/>
            <w:vAlign w:val="center"/>
            <w:hideMark/>
          </w:tcPr>
          <w:p w:rsidR="00D55472" w:rsidRPr="0063061C" w:rsidRDefault="00D55472" w:rsidP="005B4876">
            <w:pPr>
              <w:spacing w:before="100" w:after="120" w:line="240" w:lineRule="auto"/>
              <w:jc w:val="center"/>
              <w:rPr>
                <w:rFonts w:ascii="Times New Roman" w:eastAsia="Times New Roman" w:hAnsi="Times New Roman" w:cs="Times New Roman"/>
                <w:b/>
                <w:bCs/>
                <w:sz w:val="24"/>
                <w:szCs w:val="24"/>
                <w:lang w:val="en-US" w:eastAsia="ru-RU"/>
              </w:rPr>
            </w:pPr>
          </w:p>
        </w:tc>
        <w:tc>
          <w:tcPr>
            <w:tcW w:w="2480" w:type="dxa"/>
            <w:tcBorders>
              <w:top w:val="single" w:sz="12" w:space="0" w:color="auto"/>
              <w:left w:val="single" w:sz="4" w:space="0" w:color="auto"/>
              <w:bottom w:val="double" w:sz="6" w:space="0" w:color="auto"/>
              <w:right w:val="single" w:sz="4" w:space="0" w:color="auto"/>
            </w:tcBorders>
            <w:shd w:val="clear" w:color="auto" w:fill="auto"/>
            <w:vAlign w:val="center"/>
            <w:hideMark/>
          </w:tcPr>
          <w:p w:rsidR="00D55472" w:rsidRPr="0063061C" w:rsidRDefault="00D55472" w:rsidP="005B4876">
            <w:pPr>
              <w:spacing w:after="120" w:line="240" w:lineRule="auto"/>
              <w:jc w:val="center"/>
              <w:rPr>
                <w:rFonts w:ascii="Times New Roman" w:eastAsia="Times New Roman" w:hAnsi="Times New Roman" w:cs="Times New Roman"/>
                <w:b/>
                <w:bCs/>
                <w:sz w:val="24"/>
                <w:szCs w:val="24"/>
                <w:lang w:val="en-US" w:eastAsia="ru-RU"/>
              </w:rPr>
            </w:pPr>
            <w:r w:rsidRPr="0063061C">
              <w:rPr>
                <w:rFonts w:ascii="Times New Roman" w:eastAsia="Times New Roman" w:hAnsi="Times New Roman" w:cs="Times New Roman"/>
                <w:b/>
                <w:bCs/>
                <w:sz w:val="24"/>
                <w:szCs w:val="24"/>
                <w:lang w:val="en-US" w:eastAsia="ru-RU"/>
              </w:rPr>
              <w:t>1 January 2014</w:t>
            </w:r>
          </w:p>
        </w:tc>
        <w:tc>
          <w:tcPr>
            <w:tcW w:w="1853" w:type="dxa"/>
            <w:tcBorders>
              <w:top w:val="single" w:sz="12" w:space="0" w:color="auto"/>
              <w:left w:val="single" w:sz="4" w:space="0" w:color="auto"/>
              <w:bottom w:val="double" w:sz="6" w:space="0" w:color="auto"/>
              <w:right w:val="nil"/>
            </w:tcBorders>
            <w:shd w:val="clear" w:color="auto" w:fill="auto"/>
            <w:vAlign w:val="center"/>
            <w:hideMark/>
          </w:tcPr>
          <w:p w:rsidR="00D55472" w:rsidRPr="0063061C" w:rsidRDefault="00D55472" w:rsidP="005B4876">
            <w:pPr>
              <w:spacing w:after="120" w:line="240" w:lineRule="auto"/>
              <w:jc w:val="center"/>
              <w:rPr>
                <w:rFonts w:ascii="Times New Roman" w:eastAsia="Times New Roman" w:hAnsi="Times New Roman" w:cs="Times New Roman"/>
                <w:b/>
                <w:bCs/>
                <w:sz w:val="24"/>
                <w:szCs w:val="24"/>
                <w:lang w:val="en-US" w:eastAsia="ru-RU"/>
              </w:rPr>
            </w:pPr>
            <w:r w:rsidRPr="0063061C">
              <w:rPr>
                <w:rFonts w:ascii="Times New Roman" w:eastAsia="Times New Roman" w:hAnsi="Times New Roman" w:cs="Times New Roman"/>
                <w:b/>
                <w:bCs/>
                <w:sz w:val="24"/>
                <w:szCs w:val="24"/>
                <w:lang w:val="en-US" w:eastAsia="ru-RU"/>
              </w:rPr>
              <w:t>1 January 2013</w:t>
            </w:r>
          </w:p>
        </w:tc>
      </w:tr>
      <w:tr w:rsidR="00D55472" w:rsidRPr="0063061C" w:rsidTr="005B4876">
        <w:trPr>
          <w:trHeight w:val="360"/>
          <w:jc w:val="center"/>
        </w:trPr>
        <w:tc>
          <w:tcPr>
            <w:tcW w:w="4769" w:type="dxa"/>
            <w:tcBorders>
              <w:top w:val="nil"/>
              <w:left w:val="nil"/>
              <w:bottom w:val="single" w:sz="4" w:space="0" w:color="auto"/>
              <w:right w:val="single" w:sz="4" w:space="0" w:color="auto"/>
            </w:tcBorders>
            <w:shd w:val="clear" w:color="auto" w:fill="auto"/>
            <w:vAlign w:val="center"/>
            <w:hideMark/>
          </w:tcPr>
          <w:p w:rsidR="00D55472" w:rsidRPr="0063061C" w:rsidRDefault="00D55472" w:rsidP="005B4876">
            <w:pPr>
              <w:spacing w:after="120" w:line="240" w:lineRule="auto"/>
              <w:ind w:firstLine="567"/>
              <w:jc w:val="center"/>
              <w:rPr>
                <w:rFonts w:ascii="Times New Roman" w:eastAsia="Times New Roman" w:hAnsi="Times New Roman" w:cs="Times New Roman"/>
                <w:sz w:val="24"/>
                <w:szCs w:val="24"/>
                <w:lang w:val="en-US" w:eastAsia="ru-RU"/>
              </w:rPr>
            </w:pPr>
            <w:r w:rsidRPr="0063061C">
              <w:rPr>
                <w:rFonts w:ascii="Times New Roman" w:eastAsia="Calibri" w:hAnsi="Times New Roman" w:cs="Times New Roman"/>
                <w:sz w:val="24"/>
                <w:szCs w:val="24"/>
                <w:lang w:val="en-US"/>
              </w:rPr>
              <w:t>assets with the rating not worse than "A"</w:t>
            </w:r>
          </w:p>
        </w:tc>
        <w:tc>
          <w:tcPr>
            <w:tcW w:w="2480" w:type="dxa"/>
            <w:tcBorders>
              <w:top w:val="nil"/>
              <w:left w:val="single" w:sz="4" w:space="0" w:color="auto"/>
              <w:bottom w:val="single" w:sz="4" w:space="0" w:color="auto"/>
              <w:right w:val="single" w:sz="4" w:space="0" w:color="auto"/>
            </w:tcBorders>
            <w:shd w:val="clear" w:color="auto" w:fill="auto"/>
            <w:hideMark/>
          </w:tcPr>
          <w:p w:rsidR="00D55472" w:rsidRPr="0063061C" w:rsidRDefault="00D55472" w:rsidP="005B4876">
            <w:pPr>
              <w:spacing w:after="120" w:line="240" w:lineRule="auto"/>
              <w:jc w:val="center"/>
              <w:rPr>
                <w:rFonts w:ascii="Times New Roman" w:eastAsia="Times New Roman" w:hAnsi="Times New Roman" w:cs="Times New Roman"/>
                <w:sz w:val="24"/>
                <w:szCs w:val="24"/>
                <w:lang w:val="en-US" w:eastAsia="ru-RU"/>
              </w:rPr>
            </w:pPr>
            <w:r w:rsidRPr="0063061C">
              <w:rPr>
                <w:rFonts w:ascii="Times New Roman" w:eastAsia="Times New Roman" w:hAnsi="Times New Roman" w:cs="Times New Roman"/>
                <w:sz w:val="24"/>
                <w:szCs w:val="24"/>
                <w:lang w:val="en-US" w:eastAsia="ru-RU"/>
              </w:rPr>
              <w:t>41.4%</w:t>
            </w:r>
          </w:p>
        </w:tc>
        <w:tc>
          <w:tcPr>
            <w:tcW w:w="1853" w:type="dxa"/>
            <w:tcBorders>
              <w:top w:val="nil"/>
              <w:left w:val="single" w:sz="4" w:space="0" w:color="auto"/>
              <w:bottom w:val="single" w:sz="4" w:space="0" w:color="auto"/>
              <w:right w:val="nil"/>
            </w:tcBorders>
            <w:shd w:val="clear" w:color="auto" w:fill="auto"/>
            <w:hideMark/>
          </w:tcPr>
          <w:p w:rsidR="00D55472" w:rsidRPr="0063061C" w:rsidRDefault="00D55472" w:rsidP="005B4876">
            <w:pPr>
              <w:spacing w:after="120" w:line="240" w:lineRule="auto"/>
              <w:jc w:val="center"/>
              <w:rPr>
                <w:rFonts w:ascii="Times New Roman" w:eastAsia="Times New Roman" w:hAnsi="Times New Roman" w:cs="Times New Roman"/>
                <w:sz w:val="24"/>
                <w:szCs w:val="24"/>
                <w:lang w:val="en-US" w:eastAsia="ru-RU"/>
              </w:rPr>
            </w:pPr>
            <w:r w:rsidRPr="0063061C">
              <w:rPr>
                <w:rFonts w:ascii="Times New Roman" w:eastAsia="Times New Roman" w:hAnsi="Times New Roman" w:cs="Times New Roman"/>
                <w:sz w:val="24"/>
                <w:szCs w:val="24"/>
                <w:lang w:val="en-US" w:eastAsia="ru-RU"/>
              </w:rPr>
              <w:t>37.4%</w:t>
            </w:r>
          </w:p>
        </w:tc>
      </w:tr>
      <w:tr w:rsidR="00D55472" w:rsidRPr="0063061C" w:rsidTr="005B4876">
        <w:trPr>
          <w:trHeight w:val="394"/>
          <w:jc w:val="center"/>
        </w:trPr>
        <w:tc>
          <w:tcPr>
            <w:tcW w:w="4769" w:type="dxa"/>
            <w:tcBorders>
              <w:top w:val="nil"/>
              <w:left w:val="nil"/>
              <w:bottom w:val="single" w:sz="4" w:space="0" w:color="auto"/>
              <w:right w:val="single" w:sz="4" w:space="0" w:color="auto"/>
            </w:tcBorders>
            <w:shd w:val="clear" w:color="auto" w:fill="auto"/>
            <w:vAlign w:val="center"/>
            <w:hideMark/>
          </w:tcPr>
          <w:p w:rsidR="00D55472" w:rsidRPr="0063061C" w:rsidRDefault="00D55472" w:rsidP="005B4876">
            <w:pPr>
              <w:spacing w:after="120" w:line="240" w:lineRule="auto"/>
              <w:ind w:firstLine="567"/>
              <w:jc w:val="center"/>
              <w:rPr>
                <w:rFonts w:ascii="Times New Roman" w:eastAsia="Times New Roman" w:hAnsi="Times New Roman" w:cs="Times New Roman"/>
                <w:sz w:val="24"/>
                <w:szCs w:val="24"/>
                <w:lang w:val="en-US" w:eastAsia="ru-RU"/>
              </w:rPr>
            </w:pPr>
            <w:r w:rsidRPr="0063061C">
              <w:rPr>
                <w:rFonts w:ascii="Times New Roman" w:eastAsia="Calibri" w:hAnsi="Times New Roman" w:cs="Times New Roman"/>
                <w:sz w:val="24"/>
                <w:szCs w:val="24"/>
                <w:lang w:val="en-US"/>
              </w:rPr>
              <w:t>assets with the rating</w:t>
            </w:r>
            <w:r>
              <w:rPr>
                <w:rFonts w:ascii="Times New Roman" w:eastAsia="Calibri" w:hAnsi="Times New Roman" w:cs="Times New Roman"/>
                <w:sz w:val="24"/>
                <w:szCs w:val="24"/>
                <w:lang w:val="en-US"/>
              </w:rPr>
              <w:t xml:space="preserve"> worse than </w:t>
            </w:r>
            <w:r w:rsidRPr="0063061C">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 xml:space="preserve"> and </w:t>
            </w:r>
            <w:r w:rsidRPr="0063061C">
              <w:rPr>
                <w:rFonts w:ascii="Times New Roman" w:eastAsia="Calibri" w:hAnsi="Times New Roman" w:cs="Times New Roman"/>
                <w:sz w:val="24"/>
                <w:szCs w:val="24"/>
                <w:lang w:val="en-US"/>
              </w:rPr>
              <w:t xml:space="preserve">no worse than </w:t>
            </w:r>
            <w:r w:rsidRPr="0063061C">
              <w:rPr>
                <w:rFonts w:ascii="Times New Roman" w:eastAsia="+mn-ea" w:hAnsi="Times New Roman" w:cs="Times New Roman"/>
                <w:sz w:val="24"/>
                <w:szCs w:val="24"/>
                <w:lang w:val="en-US" w:eastAsia="ru-RU"/>
              </w:rPr>
              <w:t>"BBB-"</w:t>
            </w:r>
          </w:p>
        </w:tc>
        <w:tc>
          <w:tcPr>
            <w:tcW w:w="2480" w:type="dxa"/>
            <w:tcBorders>
              <w:top w:val="nil"/>
              <w:left w:val="single" w:sz="4" w:space="0" w:color="auto"/>
              <w:bottom w:val="single" w:sz="4" w:space="0" w:color="auto"/>
              <w:right w:val="single" w:sz="4" w:space="0" w:color="auto"/>
            </w:tcBorders>
            <w:shd w:val="clear" w:color="auto" w:fill="auto"/>
            <w:hideMark/>
          </w:tcPr>
          <w:p w:rsidR="00D55472" w:rsidRPr="0063061C" w:rsidRDefault="00D55472" w:rsidP="005B4876">
            <w:pPr>
              <w:spacing w:after="120" w:line="240" w:lineRule="auto"/>
              <w:jc w:val="center"/>
              <w:rPr>
                <w:rFonts w:ascii="Times New Roman" w:eastAsia="Times New Roman" w:hAnsi="Times New Roman" w:cs="Times New Roman"/>
                <w:sz w:val="24"/>
                <w:szCs w:val="24"/>
                <w:lang w:val="en-US" w:eastAsia="ru-RU"/>
              </w:rPr>
            </w:pPr>
            <w:r w:rsidRPr="0063061C">
              <w:rPr>
                <w:rFonts w:ascii="Times New Roman" w:eastAsia="Times New Roman" w:hAnsi="Times New Roman" w:cs="Times New Roman"/>
                <w:sz w:val="24"/>
                <w:szCs w:val="24"/>
                <w:lang w:val="en-US" w:eastAsia="ru-RU"/>
              </w:rPr>
              <w:t>51.2%</w:t>
            </w:r>
          </w:p>
        </w:tc>
        <w:tc>
          <w:tcPr>
            <w:tcW w:w="1853" w:type="dxa"/>
            <w:tcBorders>
              <w:top w:val="nil"/>
              <w:left w:val="single" w:sz="4" w:space="0" w:color="auto"/>
              <w:bottom w:val="single" w:sz="4" w:space="0" w:color="auto"/>
              <w:right w:val="nil"/>
            </w:tcBorders>
            <w:shd w:val="clear" w:color="auto" w:fill="auto"/>
            <w:hideMark/>
          </w:tcPr>
          <w:p w:rsidR="00D55472" w:rsidRPr="0063061C" w:rsidRDefault="00D55472" w:rsidP="005B4876">
            <w:pPr>
              <w:spacing w:after="120" w:line="240" w:lineRule="auto"/>
              <w:jc w:val="center"/>
              <w:rPr>
                <w:rFonts w:ascii="Times New Roman" w:eastAsia="Times New Roman" w:hAnsi="Times New Roman" w:cs="Times New Roman"/>
                <w:sz w:val="24"/>
                <w:szCs w:val="24"/>
                <w:lang w:val="en-US" w:eastAsia="ru-RU"/>
              </w:rPr>
            </w:pPr>
            <w:r w:rsidRPr="0063061C">
              <w:rPr>
                <w:rFonts w:ascii="Times New Roman" w:eastAsia="Times New Roman" w:hAnsi="Times New Roman" w:cs="Times New Roman"/>
                <w:sz w:val="24"/>
                <w:szCs w:val="24"/>
                <w:lang w:val="en-US" w:eastAsia="ru-RU"/>
              </w:rPr>
              <w:t>52.0%</w:t>
            </w:r>
          </w:p>
        </w:tc>
      </w:tr>
    </w:tbl>
    <w:p w:rsidR="00D55472" w:rsidRPr="0063061C" w:rsidRDefault="00D55472" w:rsidP="00D55472">
      <w:pPr>
        <w:tabs>
          <w:tab w:val="left" w:pos="0"/>
          <w:tab w:val="num" w:pos="567"/>
        </w:tabs>
        <w:spacing w:after="120" w:line="240" w:lineRule="auto"/>
        <w:ind w:firstLine="567"/>
        <w:jc w:val="both"/>
        <w:rPr>
          <w:rFonts w:ascii="Times New Roman" w:eastAsia="Calibri" w:hAnsi="Times New Roman" w:cs="Times New Roman"/>
          <w:sz w:val="24"/>
          <w:szCs w:val="24"/>
          <w:lang w:val="en-US"/>
        </w:rPr>
      </w:pPr>
      <w:r w:rsidRPr="00F80FD3">
        <w:rPr>
          <w:rFonts w:ascii="Times New Roman" w:eastAsia="Calibri" w:hAnsi="Times New Roman" w:cs="Times New Roman"/>
          <w:sz w:val="24"/>
          <w:szCs w:val="24"/>
          <w:lang w:val="en-US"/>
        </w:rPr>
        <w:t>As of  January 1, 2014</w:t>
      </w:r>
      <w:r w:rsidRPr="0063061C">
        <w:rPr>
          <w:rFonts w:ascii="Times New Roman" w:eastAsia="Calibri" w:hAnsi="Times New Roman" w:cs="Times New Roman"/>
          <w:sz w:val="24"/>
          <w:szCs w:val="24"/>
          <w:lang w:val="en-US"/>
        </w:rPr>
        <w:t xml:space="preserve">, almost all </w:t>
      </w:r>
      <w:r>
        <w:rPr>
          <w:rFonts w:ascii="Times New Roman" w:eastAsia="Calibri" w:hAnsi="Times New Roman" w:cs="Times New Roman"/>
          <w:sz w:val="24"/>
          <w:szCs w:val="24"/>
          <w:lang w:val="en-US"/>
        </w:rPr>
        <w:t xml:space="preserve">NCC’s </w:t>
      </w:r>
      <w:r w:rsidRPr="0063061C">
        <w:rPr>
          <w:rFonts w:ascii="Times New Roman" w:eastAsia="Calibri" w:hAnsi="Times New Roman" w:cs="Times New Roman"/>
          <w:sz w:val="24"/>
          <w:szCs w:val="24"/>
          <w:lang w:val="en-US"/>
        </w:rPr>
        <w:t xml:space="preserve">assets subject to provisioning are classified in the first (highest) category of quality, the size of provisions amounted to RUB 33.9 million or 0.12% of the NCC's capital. Due to the </w:t>
      </w:r>
      <w:r>
        <w:rPr>
          <w:rFonts w:ascii="Times New Roman" w:eastAsia="Calibri" w:hAnsi="Times New Roman" w:cs="Times New Roman"/>
          <w:sz w:val="24"/>
          <w:szCs w:val="24"/>
          <w:lang w:val="en-US"/>
        </w:rPr>
        <w:t xml:space="preserve">high </w:t>
      </w:r>
      <w:r w:rsidRPr="0063061C">
        <w:rPr>
          <w:rFonts w:ascii="Times New Roman" w:eastAsia="Calibri" w:hAnsi="Times New Roman" w:cs="Times New Roman"/>
          <w:sz w:val="24"/>
          <w:szCs w:val="24"/>
          <w:lang w:val="en-US"/>
        </w:rPr>
        <w:t xml:space="preserve">quality of assets, capital adequacy ratio (N1) as </w:t>
      </w:r>
      <w:r>
        <w:rPr>
          <w:rFonts w:ascii="Times New Roman" w:eastAsia="Calibri" w:hAnsi="Times New Roman" w:cs="Times New Roman"/>
          <w:sz w:val="24"/>
          <w:szCs w:val="24"/>
          <w:lang w:val="en-US"/>
        </w:rPr>
        <w:t>of</w:t>
      </w:r>
      <w:r w:rsidRPr="0063061C">
        <w:rPr>
          <w:rFonts w:ascii="Times New Roman" w:eastAsia="Calibri" w:hAnsi="Times New Roman" w:cs="Times New Roman"/>
          <w:sz w:val="24"/>
          <w:szCs w:val="24"/>
          <w:lang w:val="en-US"/>
        </w:rPr>
        <w:t xml:space="preserve"> 1 January 2014 was 21.69% with the regulatory minimum </w:t>
      </w:r>
      <w:r>
        <w:rPr>
          <w:rFonts w:ascii="Times New Roman" w:eastAsia="Calibri" w:hAnsi="Times New Roman" w:cs="Times New Roman"/>
          <w:sz w:val="24"/>
          <w:szCs w:val="24"/>
          <w:lang w:val="en-US"/>
        </w:rPr>
        <w:t>being</w:t>
      </w:r>
      <w:r w:rsidRPr="0063061C">
        <w:rPr>
          <w:rFonts w:ascii="Times New Roman" w:eastAsia="Calibri" w:hAnsi="Times New Roman" w:cs="Times New Roman"/>
          <w:sz w:val="24"/>
          <w:szCs w:val="24"/>
          <w:lang w:val="en-US"/>
        </w:rPr>
        <w:t xml:space="preserve"> 10%, which clearly proves </w:t>
      </w:r>
      <w:proofErr w:type="gramStart"/>
      <w:r w:rsidRPr="0063061C">
        <w:rPr>
          <w:rFonts w:ascii="Times New Roman" w:eastAsia="Calibri" w:hAnsi="Times New Roman" w:cs="Times New Roman"/>
          <w:sz w:val="24"/>
          <w:szCs w:val="24"/>
          <w:lang w:val="en-US"/>
        </w:rPr>
        <w:t>NCC</w:t>
      </w:r>
      <w:r>
        <w:rPr>
          <w:rFonts w:ascii="Times New Roman" w:eastAsia="Calibri" w:hAnsi="Times New Roman" w:cs="Times New Roman"/>
          <w:sz w:val="24"/>
          <w:szCs w:val="24"/>
          <w:lang w:val="en-US"/>
        </w:rPr>
        <w:t>’s</w:t>
      </w:r>
      <w:r w:rsidRPr="0063061C">
        <w:rPr>
          <w:rFonts w:ascii="Times New Roman" w:eastAsia="Calibri" w:hAnsi="Times New Roman" w:cs="Times New Roman"/>
          <w:sz w:val="24"/>
          <w:szCs w:val="24"/>
          <w:lang w:val="en-US"/>
        </w:rPr>
        <w:t xml:space="preserve">  financial</w:t>
      </w:r>
      <w:proofErr w:type="gramEnd"/>
      <w:r w:rsidR="00FB2750">
        <w:rPr>
          <w:rFonts w:ascii="Times New Roman" w:eastAsia="Calibri" w:hAnsi="Times New Roman" w:cs="Times New Roman"/>
          <w:sz w:val="24"/>
          <w:szCs w:val="24"/>
          <w:lang w:val="en-US"/>
        </w:rPr>
        <w:t xml:space="preserve"> </w:t>
      </w:r>
      <w:r w:rsidRPr="0063061C">
        <w:rPr>
          <w:rFonts w:ascii="Times New Roman" w:eastAsia="Calibri" w:hAnsi="Times New Roman" w:cs="Times New Roman"/>
          <w:sz w:val="24"/>
          <w:szCs w:val="24"/>
          <w:lang w:val="en-US"/>
        </w:rPr>
        <w:t xml:space="preserve"> stability.</w:t>
      </w:r>
    </w:p>
    <w:p w:rsidR="00D55472" w:rsidRPr="0063061C" w:rsidRDefault="00D55472" w:rsidP="00D55472">
      <w:pPr>
        <w:tabs>
          <w:tab w:val="left" w:pos="0"/>
          <w:tab w:val="num" w:pos="567"/>
        </w:tabs>
        <w:spacing w:after="120" w:line="240" w:lineRule="auto"/>
        <w:ind w:firstLine="567"/>
        <w:jc w:val="both"/>
        <w:rPr>
          <w:rFonts w:ascii="Times New Roman" w:eastAsia="+mn-ea" w:hAnsi="Times New Roman" w:cs="Times New Roman"/>
          <w:sz w:val="24"/>
          <w:szCs w:val="24"/>
          <w:lang w:val="en-US"/>
        </w:rPr>
      </w:pPr>
    </w:p>
    <w:p w:rsidR="00D55472" w:rsidRPr="0063061C" w:rsidRDefault="00D55472" w:rsidP="00D55472">
      <w:pPr>
        <w:spacing w:before="100" w:after="120" w:line="240" w:lineRule="auto"/>
        <w:jc w:val="center"/>
        <w:rPr>
          <w:rFonts w:ascii="Times New Roman" w:hAnsi="Times New Roman" w:cs="Times New Roman"/>
          <w:b/>
          <w:sz w:val="24"/>
          <w:szCs w:val="24"/>
          <w:lang w:val="en-US"/>
        </w:rPr>
      </w:pPr>
      <w:r w:rsidRPr="0063061C">
        <w:rPr>
          <w:rFonts w:ascii="Times New Roman" w:hAnsi="Times New Roman" w:cs="Times New Roman"/>
          <w:b/>
          <w:sz w:val="24"/>
          <w:szCs w:val="24"/>
          <w:lang w:val="en-US"/>
        </w:rPr>
        <w:t>Liquidity risk management</w:t>
      </w:r>
    </w:p>
    <w:p w:rsidR="00D55472" w:rsidRPr="0063061C" w:rsidRDefault="00D55472" w:rsidP="00D55472">
      <w:pPr>
        <w:tabs>
          <w:tab w:val="left" w:pos="0"/>
          <w:tab w:val="num" w:pos="567"/>
        </w:tabs>
        <w:spacing w:after="120" w:line="240" w:lineRule="auto"/>
        <w:ind w:firstLine="567"/>
        <w:jc w:val="both"/>
        <w:rPr>
          <w:rFonts w:ascii="Times New Roman" w:eastAsia="Times New Roman" w:hAnsi="Times New Roman" w:cs="Times New Roman"/>
          <w:sz w:val="24"/>
          <w:szCs w:val="24"/>
          <w:lang w:val="en-US"/>
        </w:rPr>
      </w:pPr>
      <w:r w:rsidRPr="0063061C">
        <w:rPr>
          <w:rFonts w:ascii="Times New Roman" w:eastAsia="Calibri" w:hAnsi="Times New Roman" w:cs="Times New Roman"/>
          <w:sz w:val="24"/>
          <w:szCs w:val="24"/>
          <w:lang w:val="en-US"/>
        </w:rPr>
        <w:t xml:space="preserve">The conservative asset management policy contributed to the maintenance of the liquidity </w:t>
      </w:r>
      <w:r>
        <w:rPr>
          <w:rFonts w:ascii="Times New Roman" w:eastAsia="Calibri" w:hAnsi="Times New Roman" w:cs="Times New Roman"/>
          <w:sz w:val="24"/>
          <w:szCs w:val="24"/>
          <w:lang w:val="en-US"/>
        </w:rPr>
        <w:t xml:space="preserve">at the </w:t>
      </w:r>
      <w:r w:rsidRPr="0063061C">
        <w:rPr>
          <w:rFonts w:ascii="Times New Roman" w:eastAsia="Calibri" w:hAnsi="Times New Roman" w:cs="Times New Roman"/>
          <w:sz w:val="24"/>
          <w:szCs w:val="24"/>
          <w:lang w:val="en-US"/>
        </w:rPr>
        <w:t xml:space="preserve">level sufficient to fulfill </w:t>
      </w:r>
      <w:r w:rsidR="00CE660D">
        <w:rPr>
          <w:rFonts w:ascii="Times New Roman" w:eastAsia="Calibri" w:hAnsi="Times New Roman" w:cs="Times New Roman"/>
          <w:sz w:val="24"/>
          <w:szCs w:val="24"/>
          <w:lang w:val="en-US"/>
        </w:rPr>
        <w:t xml:space="preserve">the </w:t>
      </w:r>
      <w:r w:rsidRPr="0063061C">
        <w:rPr>
          <w:rFonts w:ascii="Times New Roman" w:eastAsia="Calibri" w:hAnsi="Times New Roman" w:cs="Times New Roman"/>
          <w:sz w:val="24"/>
          <w:szCs w:val="24"/>
          <w:lang w:val="en-US"/>
        </w:rPr>
        <w:t>payment</w:t>
      </w:r>
      <w:r>
        <w:rPr>
          <w:rFonts w:ascii="Times New Roman" w:eastAsia="Calibri" w:hAnsi="Times New Roman" w:cs="Times New Roman"/>
          <w:sz w:val="24"/>
          <w:szCs w:val="24"/>
          <w:lang w:val="en-US"/>
        </w:rPr>
        <w:t xml:space="preserve"> of</w:t>
      </w:r>
      <w:r w:rsidRPr="0063061C">
        <w:rPr>
          <w:rFonts w:ascii="Times New Roman" w:eastAsia="Calibri" w:hAnsi="Times New Roman" w:cs="Times New Roman"/>
          <w:sz w:val="24"/>
          <w:szCs w:val="24"/>
          <w:lang w:val="en-US"/>
        </w:rPr>
        <w:t xml:space="preserve"> NCC</w:t>
      </w:r>
      <w:r>
        <w:rPr>
          <w:rFonts w:ascii="Times New Roman" w:eastAsia="Calibri" w:hAnsi="Times New Roman" w:cs="Times New Roman"/>
          <w:sz w:val="24"/>
          <w:szCs w:val="24"/>
          <w:lang w:val="en-US"/>
        </w:rPr>
        <w:t xml:space="preserve">’s </w:t>
      </w:r>
      <w:r w:rsidRPr="0063061C">
        <w:rPr>
          <w:rFonts w:ascii="Times New Roman" w:eastAsia="Calibri" w:hAnsi="Times New Roman" w:cs="Times New Roman"/>
          <w:sz w:val="24"/>
          <w:szCs w:val="24"/>
          <w:lang w:val="en-US"/>
        </w:rPr>
        <w:t xml:space="preserve">obligations as </w:t>
      </w:r>
      <w:r>
        <w:rPr>
          <w:rFonts w:ascii="Times New Roman" w:eastAsia="Calibri" w:hAnsi="Times New Roman" w:cs="Times New Roman"/>
          <w:sz w:val="24"/>
          <w:szCs w:val="24"/>
          <w:lang w:val="en-US"/>
        </w:rPr>
        <w:t xml:space="preserve">a </w:t>
      </w:r>
      <w:r w:rsidRPr="0063061C">
        <w:rPr>
          <w:rFonts w:ascii="Times New Roman" w:eastAsia="Calibri" w:hAnsi="Times New Roman" w:cs="Times New Roman"/>
          <w:sz w:val="24"/>
          <w:szCs w:val="24"/>
          <w:lang w:val="en-US"/>
        </w:rPr>
        <w:t>CCP. The liquidity management is aimed at ensuring the NCC's ability to perform its obligations</w:t>
      </w:r>
      <w:r>
        <w:rPr>
          <w:rFonts w:ascii="Times New Roman" w:eastAsia="Calibri" w:hAnsi="Times New Roman" w:cs="Times New Roman"/>
          <w:sz w:val="24"/>
          <w:szCs w:val="24"/>
          <w:lang w:val="en-US"/>
        </w:rPr>
        <w:t xml:space="preserve"> timely and in full</w:t>
      </w:r>
      <w:proofErr w:type="gramStart"/>
      <w:r w:rsidR="00970843">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63061C">
        <w:rPr>
          <w:rFonts w:ascii="Times New Roman" w:eastAsia="Calibri" w:hAnsi="Times New Roman" w:cs="Times New Roman"/>
          <w:sz w:val="24"/>
          <w:szCs w:val="24"/>
          <w:lang w:val="en-US"/>
        </w:rPr>
        <w:t xml:space="preserve"> under</w:t>
      </w:r>
      <w:proofErr w:type="gramEnd"/>
      <w:r w:rsidRPr="0063061C">
        <w:rPr>
          <w:rFonts w:ascii="Times New Roman" w:eastAsia="Calibri" w:hAnsi="Times New Roman" w:cs="Times New Roman"/>
          <w:sz w:val="24"/>
          <w:szCs w:val="24"/>
          <w:lang w:val="en-US"/>
        </w:rPr>
        <w:t xml:space="preserve"> normal </w:t>
      </w:r>
      <w:r>
        <w:rPr>
          <w:rFonts w:ascii="Times New Roman" w:eastAsia="Calibri" w:hAnsi="Times New Roman" w:cs="Times New Roman"/>
          <w:sz w:val="24"/>
          <w:szCs w:val="24"/>
          <w:lang w:val="en-US"/>
        </w:rPr>
        <w:t xml:space="preserve">and extreme </w:t>
      </w:r>
      <w:r w:rsidRPr="0063061C">
        <w:rPr>
          <w:rFonts w:ascii="Times New Roman" w:eastAsia="Calibri" w:hAnsi="Times New Roman" w:cs="Times New Roman"/>
          <w:sz w:val="24"/>
          <w:szCs w:val="24"/>
          <w:lang w:val="en-US"/>
        </w:rPr>
        <w:t xml:space="preserve">market conditions without suffering </w:t>
      </w:r>
      <w:r>
        <w:rPr>
          <w:rFonts w:ascii="Times New Roman" w:eastAsia="Calibri" w:hAnsi="Times New Roman" w:cs="Times New Roman"/>
          <w:sz w:val="24"/>
          <w:szCs w:val="24"/>
          <w:lang w:val="en-US"/>
        </w:rPr>
        <w:t xml:space="preserve">unacceptable </w:t>
      </w:r>
      <w:r w:rsidRPr="0063061C">
        <w:rPr>
          <w:rFonts w:ascii="Times New Roman" w:eastAsia="Calibri" w:hAnsi="Times New Roman" w:cs="Times New Roman"/>
          <w:sz w:val="24"/>
          <w:szCs w:val="24"/>
          <w:lang w:val="en-US"/>
        </w:rPr>
        <w:t xml:space="preserve"> losses </w:t>
      </w:r>
      <w:r>
        <w:rPr>
          <w:rFonts w:ascii="Times New Roman" w:eastAsia="Calibri" w:hAnsi="Times New Roman" w:cs="Times New Roman"/>
          <w:sz w:val="24"/>
          <w:szCs w:val="24"/>
          <w:lang w:val="en-US"/>
        </w:rPr>
        <w:t>and</w:t>
      </w:r>
      <w:r w:rsidRPr="0063061C">
        <w:rPr>
          <w:rFonts w:ascii="Times New Roman" w:eastAsia="Calibri" w:hAnsi="Times New Roman" w:cs="Times New Roman"/>
          <w:sz w:val="24"/>
          <w:szCs w:val="24"/>
          <w:lang w:val="en-US"/>
        </w:rPr>
        <w:t xml:space="preserve"> risk of damaging business reputation. </w:t>
      </w:r>
    </w:p>
    <w:p w:rsidR="00D55472" w:rsidRPr="0063061C" w:rsidRDefault="00D55472" w:rsidP="00D55472">
      <w:pPr>
        <w:tabs>
          <w:tab w:val="left" w:pos="0"/>
          <w:tab w:val="num" w:pos="567"/>
        </w:tabs>
        <w:spacing w:after="120" w:line="240" w:lineRule="auto"/>
        <w:ind w:firstLine="567"/>
        <w:jc w:val="both"/>
        <w:rPr>
          <w:rFonts w:ascii="Times New Roman" w:eastAsia="Calibri" w:hAnsi="Times New Roman" w:cs="Times New Roman"/>
          <w:sz w:val="24"/>
          <w:szCs w:val="24"/>
          <w:lang w:val="en-US"/>
        </w:rPr>
      </w:pPr>
      <w:r w:rsidRPr="0063061C">
        <w:rPr>
          <w:rFonts w:ascii="Times New Roman" w:eastAsia="Calibri" w:hAnsi="Times New Roman" w:cs="Times New Roman"/>
          <w:sz w:val="24"/>
          <w:szCs w:val="24"/>
          <w:lang w:val="en-US"/>
        </w:rPr>
        <w:t>During 2013, the regulatory liquidity ratios for credit institutions were significantly exceeded by NCC, as shown in the table below:</w:t>
      </w:r>
    </w:p>
    <w:p w:rsidR="00D55472" w:rsidRPr="0063061C" w:rsidRDefault="00D55472" w:rsidP="00D55472">
      <w:pPr>
        <w:tabs>
          <w:tab w:val="left" w:pos="0"/>
          <w:tab w:val="num" w:pos="567"/>
        </w:tabs>
        <w:spacing w:after="120" w:line="240" w:lineRule="auto"/>
        <w:ind w:firstLine="567"/>
        <w:jc w:val="both"/>
        <w:rPr>
          <w:rFonts w:ascii="Times New Roman" w:eastAsia="Times New Roman" w:hAnsi="Times New Roman" w:cs="Times New Roman"/>
          <w:b/>
          <w:sz w:val="24"/>
          <w:szCs w:val="24"/>
          <w:lang w:val="en-US"/>
        </w:rPr>
      </w:pPr>
    </w:p>
    <w:p w:rsidR="00D55472" w:rsidRPr="0063061C" w:rsidRDefault="00D55472" w:rsidP="00D55472">
      <w:pPr>
        <w:spacing w:before="100" w:after="120" w:line="240" w:lineRule="auto"/>
        <w:jc w:val="center"/>
        <w:rPr>
          <w:rFonts w:ascii="Times New Roman" w:hAnsi="Times New Roman" w:cs="Times New Roman"/>
          <w:b/>
          <w:sz w:val="24"/>
          <w:szCs w:val="24"/>
          <w:lang w:val="en-US"/>
        </w:rPr>
      </w:pPr>
      <w:r w:rsidRPr="0063061C">
        <w:rPr>
          <w:rFonts w:ascii="Times New Roman" w:eastAsia="Calibri" w:hAnsi="Times New Roman" w:cs="Times New Roman"/>
          <w:b/>
          <w:sz w:val="24"/>
          <w:szCs w:val="24"/>
          <w:lang w:val="en-US"/>
        </w:rPr>
        <w:t>The regulatory liquidity ratios</w:t>
      </w:r>
      <w:r w:rsidRPr="0063061C">
        <w:rPr>
          <w:rFonts w:ascii="Times New Roman" w:hAnsi="Times New Roman" w:cs="Times New Roman"/>
          <w:b/>
          <w:sz w:val="24"/>
          <w:szCs w:val="24"/>
          <w:lang w:val="en-US"/>
        </w:rPr>
        <w:t xml:space="preserve"> </w:t>
      </w:r>
    </w:p>
    <w:tbl>
      <w:tblPr>
        <w:tblW w:w="0" w:type="auto"/>
        <w:tblLook w:val="04A0" w:firstRow="1" w:lastRow="0" w:firstColumn="1" w:lastColumn="0" w:noHBand="0" w:noVBand="1"/>
      </w:tblPr>
      <w:tblGrid>
        <w:gridCol w:w="1622"/>
        <w:gridCol w:w="2712"/>
        <w:gridCol w:w="2533"/>
        <w:gridCol w:w="1352"/>
        <w:gridCol w:w="1352"/>
      </w:tblGrid>
      <w:tr w:rsidR="00D55472" w:rsidRPr="009F55B7" w:rsidTr="005B4876">
        <w:trPr>
          <w:trHeight w:val="498"/>
        </w:trPr>
        <w:tc>
          <w:tcPr>
            <w:tcW w:w="0" w:type="auto"/>
            <w:tcBorders>
              <w:top w:val="single" w:sz="12" w:space="0" w:color="auto"/>
              <w:left w:val="nil"/>
              <w:bottom w:val="double" w:sz="6" w:space="0" w:color="auto"/>
              <w:right w:val="nil"/>
            </w:tcBorders>
            <w:shd w:val="clear" w:color="auto" w:fill="auto"/>
            <w:hideMark/>
          </w:tcPr>
          <w:p w:rsidR="00D55472" w:rsidRPr="0063061C" w:rsidRDefault="00D55472" w:rsidP="005B4876">
            <w:pPr>
              <w:spacing w:after="0" w:line="240" w:lineRule="auto"/>
              <w:jc w:val="center"/>
              <w:rPr>
                <w:rFonts w:ascii="Times New Roman" w:eastAsia="Times New Roman" w:hAnsi="Times New Roman" w:cs="Times New Roman"/>
                <w:b/>
                <w:bCs/>
                <w:sz w:val="24"/>
                <w:szCs w:val="24"/>
                <w:lang w:val="en-US" w:eastAsia="ru-RU"/>
              </w:rPr>
            </w:pPr>
            <w:r w:rsidRPr="0063061C">
              <w:rPr>
                <w:rFonts w:ascii="Times New Roman" w:eastAsia="Times New Roman" w:hAnsi="Times New Roman" w:cs="Times New Roman"/>
                <w:b/>
                <w:bCs/>
                <w:sz w:val="24"/>
                <w:szCs w:val="24"/>
                <w:lang w:val="en-US" w:eastAsia="ru-RU"/>
              </w:rPr>
              <w:t>Liquidity ratios</w:t>
            </w:r>
          </w:p>
        </w:tc>
        <w:tc>
          <w:tcPr>
            <w:tcW w:w="0" w:type="auto"/>
            <w:tcBorders>
              <w:top w:val="single" w:sz="12" w:space="0" w:color="auto"/>
              <w:left w:val="nil"/>
              <w:bottom w:val="double" w:sz="6" w:space="0" w:color="auto"/>
              <w:right w:val="nil"/>
            </w:tcBorders>
            <w:shd w:val="clear" w:color="auto" w:fill="auto"/>
            <w:hideMark/>
          </w:tcPr>
          <w:p w:rsidR="00D55472" w:rsidRPr="0063061C" w:rsidRDefault="00D55472" w:rsidP="005B4876">
            <w:pPr>
              <w:spacing w:after="0" w:line="240" w:lineRule="auto"/>
              <w:jc w:val="center"/>
              <w:rPr>
                <w:rFonts w:ascii="Times New Roman" w:eastAsia="Times New Roman" w:hAnsi="Times New Roman" w:cs="Times New Roman"/>
                <w:b/>
                <w:bCs/>
                <w:sz w:val="24"/>
                <w:szCs w:val="24"/>
                <w:lang w:val="en-US" w:eastAsia="ru-RU"/>
              </w:rPr>
            </w:pPr>
            <w:r w:rsidRPr="0063061C">
              <w:rPr>
                <w:rFonts w:ascii="Times New Roman" w:eastAsia="Times New Roman" w:hAnsi="Times New Roman" w:cs="Times New Roman"/>
                <w:b/>
                <w:bCs/>
                <w:sz w:val="24"/>
                <w:szCs w:val="24"/>
                <w:lang w:val="en-US" w:eastAsia="ru-RU"/>
              </w:rPr>
              <w:t>Limits set by the Bank of Russia</w:t>
            </w:r>
          </w:p>
        </w:tc>
        <w:tc>
          <w:tcPr>
            <w:tcW w:w="0" w:type="auto"/>
            <w:tcBorders>
              <w:top w:val="single" w:sz="12" w:space="0" w:color="auto"/>
              <w:left w:val="nil"/>
              <w:bottom w:val="double" w:sz="6" w:space="0" w:color="auto"/>
              <w:right w:val="nil"/>
            </w:tcBorders>
            <w:shd w:val="clear" w:color="auto" w:fill="auto"/>
            <w:hideMark/>
          </w:tcPr>
          <w:p w:rsidR="00D55472" w:rsidRPr="0063061C" w:rsidRDefault="00D55472" w:rsidP="005B4876">
            <w:pPr>
              <w:spacing w:after="0" w:line="240" w:lineRule="auto"/>
              <w:jc w:val="center"/>
              <w:rPr>
                <w:rFonts w:ascii="Times New Roman" w:eastAsia="Times New Roman" w:hAnsi="Times New Roman" w:cs="Times New Roman"/>
                <w:b/>
                <w:bCs/>
                <w:sz w:val="24"/>
                <w:szCs w:val="24"/>
                <w:lang w:val="en-US" w:eastAsia="ru-RU"/>
              </w:rPr>
            </w:pPr>
            <w:r w:rsidRPr="0063061C">
              <w:rPr>
                <w:rFonts w:ascii="Times New Roman" w:eastAsia="Times New Roman" w:hAnsi="Times New Roman" w:cs="Times New Roman"/>
                <w:b/>
                <w:bCs/>
                <w:sz w:val="24"/>
                <w:szCs w:val="24"/>
                <w:lang w:val="en-US" w:eastAsia="ru-RU"/>
              </w:rPr>
              <w:t>Minimal value for the period</w:t>
            </w:r>
          </w:p>
        </w:tc>
        <w:tc>
          <w:tcPr>
            <w:tcW w:w="0" w:type="auto"/>
            <w:gridSpan w:val="2"/>
            <w:tcBorders>
              <w:top w:val="single" w:sz="12" w:space="0" w:color="auto"/>
              <w:left w:val="nil"/>
              <w:bottom w:val="double" w:sz="6" w:space="0" w:color="auto"/>
              <w:right w:val="nil"/>
            </w:tcBorders>
            <w:shd w:val="clear" w:color="auto" w:fill="auto"/>
            <w:hideMark/>
          </w:tcPr>
          <w:p w:rsidR="00D55472" w:rsidRPr="0063061C" w:rsidRDefault="00D55472" w:rsidP="005B4876">
            <w:pPr>
              <w:spacing w:after="0" w:line="240" w:lineRule="auto"/>
              <w:jc w:val="center"/>
              <w:rPr>
                <w:rFonts w:ascii="Times New Roman" w:eastAsia="Times New Roman" w:hAnsi="Times New Roman" w:cs="Times New Roman"/>
                <w:b/>
                <w:bCs/>
                <w:sz w:val="24"/>
                <w:szCs w:val="24"/>
                <w:lang w:val="en-US" w:eastAsia="ru-RU"/>
              </w:rPr>
            </w:pPr>
            <w:r w:rsidRPr="0063061C">
              <w:rPr>
                <w:rFonts w:ascii="Times New Roman" w:eastAsia="Times New Roman" w:hAnsi="Times New Roman" w:cs="Times New Roman"/>
                <w:b/>
                <w:bCs/>
                <w:sz w:val="24"/>
                <w:szCs w:val="24"/>
                <w:lang w:val="en-US" w:eastAsia="ru-RU"/>
              </w:rPr>
              <w:t>Ratio at the reporting date</w:t>
            </w:r>
          </w:p>
        </w:tc>
      </w:tr>
      <w:tr w:rsidR="00D55472" w:rsidRPr="0063061C" w:rsidTr="005B4876">
        <w:trPr>
          <w:trHeight w:val="335"/>
        </w:trPr>
        <w:tc>
          <w:tcPr>
            <w:tcW w:w="0" w:type="auto"/>
            <w:tcBorders>
              <w:top w:val="nil"/>
              <w:left w:val="nil"/>
              <w:bottom w:val="double" w:sz="6" w:space="0" w:color="auto"/>
              <w:right w:val="nil"/>
            </w:tcBorders>
            <w:shd w:val="clear" w:color="auto" w:fill="auto"/>
            <w:hideMark/>
          </w:tcPr>
          <w:p w:rsidR="00D55472" w:rsidRPr="0063061C" w:rsidRDefault="00D55472" w:rsidP="005B4876">
            <w:pPr>
              <w:spacing w:after="0" w:line="240" w:lineRule="auto"/>
              <w:ind w:firstLine="567"/>
              <w:jc w:val="center"/>
              <w:rPr>
                <w:rFonts w:ascii="Times New Roman" w:eastAsia="Times New Roman" w:hAnsi="Times New Roman" w:cs="Times New Roman"/>
                <w:b/>
                <w:bCs/>
                <w:sz w:val="24"/>
                <w:szCs w:val="24"/>
                <w:lang w:val="en-US" w:eastAsia="ru-RU"/>
              </w:rPr>
            </w:pPr>
          </w:p>
        </w:tc>
        <w:tc>
          <w:tcPr>
            <w:tcW w:w="0" w:type="auto"/>
            <w:tcBorders>
              <w:top w:val="nil"/>
              <w:left w:val="nil"/>
              <w:bottom w:val="double" w:sz="6" w:space="0" w:color="auto"/>
              <w:right w:val="nil"/>
            </w:tcBorders>
            <w:shd w:val="clear" w:color="auto" w:fill="auto"/>
            <w:hideMark/>
          </w:tcPr>
          <w:p w:rsidR="00D55472" w:rsidRPr="0063061C" w:rsidRDefault="00D55472" w:rsidP="005B4876">
            <w:pPr>
              <w:spacing w:after="0" w:line="240" w:lineRule="auto"/>
              <w:ind w:firstLine="567"/>
              <w:jc w:val="center"/>
              <w:rPr>
                <w:rFonts w:ascii="Times New Roman" w:eastAsia="Times New Roman" w:hAnsi="Times New Roman" w:cs="Times New Roman"/>
                <w:b/>
                <w:bCs/>
                <w:sz w:val="24"/>
                <w:szCs w:val="24"/>
                <w:lang w:val="en-US" w:eastAsia="ru-RU"/>
              </w:rPr>
            </w:pPr>
          </w:p>
        </w:tc>
        <w:tc>
          <w:tcPr>
            <w:tcW w:w="0" w:type="auto"/>
            <w:tcBorders>
              <w:top w:val="nil"/>
              <w:left w:val="nil"/>
              <w:bottom w:val="double" w:sz="6" w:space="0" w:color="auto"/>
              <w:right w:val="nil"/>
            </w:tcBorders>
            <w:shd w:val="clear" w:color="auto" w:fill="auto"/>
            <w:hideMark/>
          </w:tcPr>
          <w:p w:rsidR="00D55472" w:rsidRPr="0063061C" w:rsidRDefault="00D55472" w:rsidP="005B4876">
            <w:pPr>
              <w:spacing w:after="0" w:line="240" w:lineRule="auto"/>
              <w:ind w:firstLine="567"/>
              <w:jc w:val="center"/>
              <w:rPr>
                <w:rFonts w:ascii="Times New Roman" w:eastAsia="Times New Roman" w:hAnsi="Times New Roman" w:cs="Times New Roman"/>
                <w:b/>
                <w:bCs/>
                <w:sz w:val="24"/>
                <w:szCs w:val="24"/>
                <w:lang w:val="en-US" w:eastAsia="ru-RU"/>
              </w:rPr>
            </w:pPr>
          </w:p>
        </w:tc>
        <w:tc>
          <w:tcPr>
            <w:tcW w:w="0" w:type="auto"/>
            <w:tcBorders>
              <w:top w:val="nil"/>
              <w:left w:val="nil"/>
              <w:bottom w:val="double" w:sz="6" w:space="0" w:color="auto"/>
              <w:right w:val="nil"/>
            </w:tcBorders>
            <w:shd w:val="clear" w:color="auto" w:fill="auto"/>
            <w:hideMark/>
          </w:tcPr>
          <w:p w:rsidR="00D55472" w:rsidRPr="0063061C" w:rsidRDefault="00D55472" w:rsidP="005B4876">
            <w:pPr>
              <w:spacing w:after="0" w:line="240" w:lineRule="auto"/>
              <w:jc w:val="center"/>
              <w:rPr>
                <w:rFonts w:ascii="Times New Roman" w:eastAsia="Times New Roman" w:hAnsi="Times New Roman" w:cs="Times New Roman"/>
                <w:b/>
                <w:bCs/>
                <w:sz w:val="24"/>
                <w:szCs w:val="24"/>
                <w:lang w:val="en-US" w:eastAsia="ru-RU"/>
              </w:rPr>
            </w:pPr>
            <w:r w:rsidRPr="0063061C">
              <w:rPr>
                <w:rFonts w:ascii="Times New Roman" w:eastAsia="Times New Roman" w:hAnsi="Times New Roman" w:cs="Times New Roman"/>
                <w:b/>
                <w:bCs/>
                <w:sz w:val="24"/>
                <w:szCs w:val="24"/>
                <w:lang w:val="en-US" w:eastAsia="ru-RU"/>
              </w:rPr>
              <w:t>2014</w:t>
            </w:r>
          </w:p>
        </w:tc>
        <w:tc>
          <w:tcPr>
            <w:tcW w:w="0" w:type="auto"/>
            <w:tcBorders>
              <w:top w:val="nil"/>
              <w:left w:val="nil"/>
              <w:bottom w:val="double" w:sz="6" w:space="0" w:color="auto"/>
              <w:right w:val="nil"/>
            </w:tcBorders>
            <w:shd w:val="clear" w:color="auto" w:fill="auto"/>
            <w:hideMark/>
          </w:tcPr>
          <w:p w:rsidR="00D55472" w:rsidRPr="0063061C" w:rsidRDefault="00D55472" w:rsidP="005B4876">
            <w:pPr>
              <w:spacing w:after="0" w:line="240" w:lineRule="auto"/>
              <w:jc w:val="center"/>
              <w:rPr>
                <w:rFonts w:ascii="Times New Roman" w:eastAsia="Times New Roman" w:hAnsi="Times New Roman" w:cs="Times New Roman"/>
                <w:b/>
                <w:bCs/>
                <w:sz w:val="24"/>
                <w:szCs w:val="24"/>
                <w:lang w:val="en-US" w:eastAsia="ru-RU"/>
              </w:rPr>
            </w:pPr>
            <w:r w:rsidRPr="0063061C">
              <w:rPr>
                <w:rFonts w:ascii="Times New Roman" w:eastAsia="Times New Roman" w:hAnsi="Times New Roman" w:cs="Times New Roman"/>
                <w:b/>
                <w:bCs/>
                <w:sz w:val="24"/>
                <w:szCs w:val="24"/>
                <w:lang w:val="en-US" w:eastAsia="ru-RU"/>
              </w:rPr>
              <w:t>2013</w:t>
            </w:r>
          </w:p>
        </w:tc>
      </w:tr>
      <w:tr w:rsidR="00D55472" w:rsidRPr="0063061C" w:rsidTr="005B4876">
        <w:trPr>
          <w:trHeight w:val="320"/>
        </w:trPr>
        <w:tc>
          <w:tcPr>
            <w:tcW w:w="0" w:type="auto"/>
            <w:tcBorders>
              <w:top w:val="nil"/>
              <w:left w:val="nil"/>
              <w:bottom w:val="single" w:sz="4" w:space="0" w:color="auto"/>
              <w:right w:val="nil"/>
            </w:tcBorders>
            <w:shd w:val="clear" w:color="auto" w:fill="auto"/>
            <w:hideMark/>
          </w:tcPr>
          <w:p w:rsidR="00D55472" w:rsidRPr="0063061C" w:rsidRDefault="00D55472" w:rsidP="005B4876">
            <w:pPr>
              <w:spacing w:after="0" w:line="240" w:lineRule="auto"/>
              <w:jc w:val="center"/>
              <w:rPr>
                <w:rFonts w:ascii="Times New Roman" w:eastAsia="Times New Roman" w:hAnsi="Times New Roman" w:cs="Times New Roman"/>
                <w:sz w:val="24"/>
                <w:szCs w:val="24"/>
                <w:lang w:val="en-US" w:eastAsia="ru-RU"/>
              </w:rPr>
            </w:pPr>
            <w:r w:rsidRPr="0063061C">
              <w:rPr>
                <w:rFonts w:ascii="Times New Roman" w:eastAsia="Times New Roman" w:hAnsi="Times New Roman" w:cs="Times New Roman"/>
                <w:sz w:val="24"/>
                <w:szCs w:val="24"/>
                <w:lang w:val="en-US" w:eastAsia="ru-RU"/>
              </w:rPr>
              <w:t>H2</w:t>
            </w:r>
          </w:p>
        </w:tc>
        <w:tc>
          <w:tcPr>
            <w:tcW w:w="0" w:type="auto"/>
            <w:tcBorders>
              <w:top w:val="nil"/>
              <w:left w:val="nil"/>
              <w:bottom w:val="single" w:sz="4" w:space="0" w:color="auto"/>
              <w:right w:val="nil"/>
            </w:tcBorders>
            <w:shd w:val="clear" w:color="auto" w:fill="auto"/>
            <w:hideMark/>
          </w:tcPr>
          <w:p w:rsidR="00D55472" w:rsidRPr="0063061C" w:rsidRDefault="00D55472" w:rsidP="005B4876">
            <w:pPr>
              <w:spacing w:after="0" w:line="240" w:lineRule="auto"/>
              <w:jc w:val="center"/>
              <w:rPr>
                <w:rFonts w:ascii="Times New Roman" w:eastAsia="Times New Roman" w:hAnsi="Times New Roman" w:cs="Times New Roman"/>
                <w:sz w:val="24"/>
                <w:szCs w:val="24"/>
                <w:lang w:val="en-US" w:eastAsia="ru-RU"/>
              </w:rPr>
            </w:pPr>
            <w:r w:rsidRPr="0063061C">
              <w:rPr>
                <w:rFonts w:ascii="Times New Roman" w:eastAsia="Times New Roman" w:hAnsi="Times New Roman" w:cs="Times New Roman"/>
                <w:sz w:val="24"/>
                <w:szCs w:val="24"/>
                <w:lang w:val="en-US" w:eastAsia="ru-RU"/>
              </w:rPr>
              <w:t>More than 15%</w:t>
            </w:r>
          </w:p>
        </w:tc>
        <w:tc>
          <w:tcPr>
            <w:tcW w:w="0" w:type="auto"/>
            <w:tcBorders>
              <w:top w:val="nil"/>
              <w:left w:val="nil"/>
              <w:bottom w:val="single" w:sz="4" w:space="0" w:color="auto"/>
              <w:right w:val="nil"/>
            </w:tcBorders>
            <w:shd w:val="clear" w:color="auto" w:fill="auto"/>
            <w:hideMark/>
          </w:tcPr>
          <w:p w:rsidR="00D55472" w:rsidRPr="0063061C" w:rsidRDefault="00D55472" w:rsidP="005B4876">
            <w:pPr>
              <w:spacing w:after="0" w:line="240" w:lineRule="auto"/>
              <w:jc w:val="center"/>
              <w:rPr>
                <w:rFonts w:ascii="Times New Roman" w:eastAsia="Times New Roman" w:hAnsi="Times New Roman" w:cs="Times New Roman"/>
                <w:sz w:val="24"/>
                <w:szCs w:val="24"/>
                <w:lang w:val="en-US" w:eastAsia="ru-RU"/>
              </w:rPr>
            </w:pPr>
            <w:r w:rsidRPr="0063061C">
              <w:rPr>
                <w:rFonts w:ascii="Times New Roman" w:eastAsia="Times New Roman" w:hAnsi="Times New Roman" w:cs="Times New Roman"/>
                <w:sz w:val="24"/>
                <w:szCs w:val="24"/>
                <w:lang w:val="en-US" w:eastAsia="ru-RU"/>
              </w:rPr>
              <w:t>72.40%</w:t>
            </w:r>
          </w:p>
        </w:tc>
        <w:tc>
          <w:tcPr>
            <w:tcW w:w="0" w:type="auto"/>
            <w:tcBorders>
              <w:top w:val="nil"/>
              <w:left w:val="nil"/>
              <w:bottom w:val="single" w:sz="4" w:space="0" w:color="auto"/>
              <w:right w:val="nil"/>
            </w:tcBorders>
            <w:shd w:val="clear" w:color="auto" w:fill="auto"/>
            <w:hideMark/>
          </w:tcPr>
          <w:p w:rsidR="00D55472" w:rsidRPr="0063061C" w:rsidRDefault="00D55472" w:rsidP="005B4876">
            <w:pPr>
              <w:spacing w:after="0" w:line="240" w:lineRule="auto"/>
              <w:jc w:val="center"/>
              <w:rPr>
                <w:rFonts w:ascii="Times New Roman" w:eastAsia="Times New Roman" w:hAnsi="Times New Roman" w:cs="Times New Roman"/>
                <w:sz w:val="24"/>
                <w:szCs w:val="24"/>
                <w:lang w:val="en-US" w:eastAsia="ru-RU"/>
              </w:rPr>
            </w:pPr>
            <w:r w:rsidRPr="0063061C">
              <w:rPr>
                <w:rFonts w:ascii="Times New Roman" w:eastAsia="Times New Roman" w:hAnsi="Times New Roman" w:cs="Times New Roman"/>
                <w:sz w:val="24"/>
                <w:szCs w:val="24"/>
                <w:lang w:val="en-US" w:eastAsia="ru-RU"/>
              </w:rPr>
              <w:t>90.38%</w:t>
            </w:r>
          </w:p>
        </w:tc>
        <w:tc>
          <w:tcPr>
            <w:tcW w:w="0" w:type="auto"/>
            <w:tcBorders>
              <w:top w:val="nil"/>
              <w:left w:val="nil"/>
              <w:bottom w:val="single" w:sz="4" w:space="0" w:color="auto"/>
              <w:right w:val="nil"/>
            </w:tcBorders>
            <w:shd w:val="clear" w:color="auto" w:fill="auto"/>
            <w:hideMark/>
          </w:tcPr>
          <w:p w:rsidR="00D55472" w:rsidRPr="0063061C" w:rsidRDefault="00D55472" w:rsidP="005B4876">
            <w:pPr>
              <w:spacing w:after="0" w:line="240" w:lineRule="auto"/>
              <w:jc w:val="center"/>
              <w:rPr>
                <w:rFonts w:ascii="Times New Roman" w:eastAsia="Times New Roman" w:hAnsi="Times New Roman" w:cs="Times New Roman"/>
                <w:sz w:val="24"/>
                <w:szCs w:val="24"/>
                <w:lang w:val="en-US" w:eastAsia="ru-RU"/>
              </w:rPr>
            </w:pPr>
            <w:r w:rsidRPr="0063061C">
              <w:rPr>
                <w:rFonts w:ascii="Times New Roman" w:eastAsia="Times New Roman" w:hAnsi="Times New Roman" w:cs="Times New Roman"/>
                <w:sz w:val="24"/>
                <w:szCs w:val="24"/>
                <w:lang w:val="en-US" w:eastAsia="ru-RU"/>
              </w:rPr>
              <w:t>86.10%</w:t>
            </w:r>
          </w:p>
        </w:tc>
      </w:tr>
      <w:tr w:rsidR="00D55472" w:rsidRPr="0063061C" w:rsidTr="005B4876">
        <w:trPr>
          <w:trHeight w:val="305"/>
        </w:trPr>
        <w:tc>
          <w:tcPr>
            <w:tcW w:w="0" w:type="auto"/>
            <w:tcBorders>
              <w:top w:val="nil"/>
              <w:left w:val="nil"/>
              <w:bottom w:val="single" w:sz="4" w:space="0" w:color="auto"/>
              <w:right w:val="nil"/>
            </w:tcBorders>
            <w:shd w:val="clear" w:color="auto" w:fill="auto"/>
            <w:hideMark/>
          </w:tcPr>
          <w:p w:rsidR="00D55472" w:rsidRPr="0063061C" w:rsidRDefault="00D55472" w:rsidP="005B4876">
            <w:pPr>
              <w:spacing w:after="0" w:line="240" w:lineRule="auto"/>
              <w:jc w:val="center"/>
              <w:rPr>
                <w:rFonts w:ascii="Times New Roman" w:eastAsia="Times New Roman" w:hAnsi="Times New Roman" w:cs="Times New Roman"/>
                <w:sz w:val="24"/>
                <w:szCs w:val="24"/>
                <w:lang w:val="en-US" w:eastAsia="ru-RU"/>
              </w:rPr>
            </w:pPr>
            <w:r w:rsidRPr="0063061C">
              <w:rPr>
                <w:rFonts w:ascii="Times New Roman" w:eastAsia="Times New Roman" w:hAnsi="Times New Roman" w:cs="Times New Roman"/>
                <w:sz w:val="24"/>
                <w:szCs w:val="24"/>
                <w:lang w:val="en-US" w:eastAsia="ru-RU"/>
              </w:rPr>
              <w:t>HЗ</w:t>
            </w:r>
          </w:p>
        </w:tc>
        <w:tc>
          <w:tcPr>
            <w:tcW w:w="0" w:type="auto"/>
            <w:tcBorders>
              <w:top w:val="nil"/>
              <w:left w:val="nil"/>
              <w:bottom w:val="single" w:sz="4" w:space="0" w:color="auto"/>
              <w:right w:val="nil"/>
            </w:tcBorders>
            <w:shd w:val="clear" w:color="auto" w:fill="auto"/>
            <w:hideMark/>
          </w:tcPr>
          <w:p w:rsidR="00D55472" w:rsidRPr="0063061C" w:rsidRDefault="00D55472" w:rsidP="005B4876">
            <w:pPr>
              <w:spacing w:after="0" w:line="240" w:lineRule="auto"/>
              <w:jc w:val="center"/>
              <w:rPr>
                <w:rFonts w:ascii="Times New Roman" w:eastAsia="Times New Roman" w:hAnsi="Times New Roman" w:cs="Times New Roman"/>
                <w:sz w:val="24"/>
                <w:szCs w:val="24"/>
                <w:lang w:val="en-US" w:eastAsia="ru-RU"/>
              </w:rPr>
            </w:pPr>
            <w:r w:rsidRPr="0063061C">
              <w:rPr>
                <w:rFonts w:ascii="Times New Roman" w:eastAsia="Times New Roman" w:hAnsi="Times New Roman" w:cs="Times New Roman"/>
                <w:sz w:val="24"/>
                <w:szCs w:val="24"/>
                <w:lang w:val="en-US" w:eastAsia="ru-RU"/>
              </w:rPr>
              <w:t>More than 50%</w:t>
            </w:r>
          </w:p>
        </w:tc>
        <w:tc>
          <w:tcPr>
            <w:tcW w:w="0" w:type="auto"/>
            <w:tcBorders>
              <w:top w:val="nil"/>
              <w:left w:val="nil"/>
              <w:bottom w:val="single" w:sz="4" w:space="0" w:color="auto"/>
              <w:right w:val="nil"/>
            </w:tcBorders>
            <w:shd w:val="clear" w:color="auto" w:fill="auto"/>
            <w:hideMark/>
          </w:tcPr>
          <w:p w:rsidR="00D55472" w:rsidRPr="0063061C" w:rsidRDefault="00D55472" w:rsidP="005B4876">
            <w:pPr>
              <w:spacing w:after="0" w:line="240" w:lineRule="auto"/>
              <w:jc w:val="center"/>
              <w:rPr>
                <w:rFonts w:ascii="Times New Roman" w:eastAsia="Times New Roman" w:hAnsi="Times New Roman" w:cs="Times New Roman"/>
                <w:sz w:val="24"/>
                <w:szCs w:val="24"/>
                <w:lang w:val="en-US" w:eastAsia="ru-RU"/>
              </w:rPr>
            </w:pPr>
            <w:r w:rsidRPr="0063061C">
              <w:rPr>
                <w:rFonts w:ascii="Times New Roman" w:eastAsia="Times New Roman" w:hAnsi="Times New Roman" w:cs="Times New Roman"/>
                <w:sz w:val="24"/>
                <w:szCs w:val="24"/>
                <w:lang w:val="en-US" w:eastAsia="ru-RU"/>
              </w:rPr>
              <w:t>94.72%</w:t>
            </w:r>
          </w:p>
        </w:tc>
        <w:tc>
          <w:tcPr>
            <w:tcW w:w="0" w:type="auto"/>
            <w:tcBorders>
              <w:top w:val="nil"/>
              <w:left w:val="nil"/>
              <w:bottom w:val="single" w:sz="4" w:space="0" w:color="auto"/>
              <w:right w:val="nil"/>
            </w:tcBorders>
            <w:shd w:val="clear" w:color="auto" w:fill="auto"/>
            <w:hideMark/>
          </w:tcPr>
          <w:p w:rsidR="00D55472" w:rsidRPr="0063061C" w:rsidRDefault="00D55472" w:rsidP="005B4876">
            <w:pPr>
              <w:spacing w:after="0" w:line="240" w:lineRule="auto"/>
              <w:jc w:val="center"/>
              <w:rPr>
                <w:rFonts w:ascii="Times New Roman" w:eastAsia="Times New Roman" w:hAnsi="Times New Roman" w:cs="Times New Roman"/>
                <w:sz w:val="24"/>
                <w:szCs w:val="24"/>
                <w:lang w:val="en-US" w:eastAsia="ru-RU"/>
              </w:rPr>
            </w:pPr>
            <w:r w:rsidRPr="0063061C">
              <w:rPr>
                <w:rFonts w:ascii="Times New Roman" w:eastAsia="Times New Roman" w:hAnsi="Times New Roman" w:cs="Times New Roman"/>
                <w:sz w:val="24"/>
                <w:szCs w:val="24"/>
                <w:lang w:val="en-US" w:eastAsia="ru-RU"/>
              </w:rPr>
              <w:t>110.55%</w:t>
            </w:r>
          </w:p>
        </w:tc>
        <w:tc>
          <w:tcPr>
            <w:tcW w:w="0" w:type="auto"/>
            <w:tcBorders>
              <w:top w:val="nil"/>
              <w:left w:val="nil"/>
              <w:bottom w:val="single" w:sz="4" w:space="0" w:color="auto"/>
              <w:right w:val="nil"/>
            </w:tcBorders>
            <w:shd w:val="clear" w:color="auto" w:fill="auto"/>
            <w:hideMark/>
          </w:tcPr>
          <w:p w:rsidR="00D55472" w:rsidRPr="0063061C" w:rsidRDefault="00D55472" w:rsidP="005B4876">
            <w:pPr>
              <w:spacing w:after="0" w:line="240" w:lineRule="auto"/>
              <w:jc w:val="center"/>
              <w:rPr>
                <w:rFonts w:ascii="Times New Roman" w:eastAsia="Times New Roman" w:hAnsi="Times New Roman" w:cs="Times New Roman"/>
                <w:sz w:val="24"/>
                <w:szCs w:val="24"/>
                <w:lang w:val="en-US" w:eastAsia="ru-RU"/>
              </w:rPr>
            </w:pPr>
            <w:r w:rsidRPr="0063061C">
              <w:rPr>
                <w:rFonts w:ascii="Times New Roman" w:eastAsia="Times New Roman" w:hAnsi="Times New Roman" w:cs="Times New Roman"/>
                <w:sz w:val="24"/>
                <w:szCs w:val="24"/>
                <w:lang w:val="en-US" w:eastAsia="ru-RU"/>
              </w:rPr>
              <w:t>106.08%</w:t>
            </w:r>
          </w:p>
        </w:tc>
      </w:tr>
      <w:tr w:rsidR="00D55472" w:rsidRPr="0063061C" w:rsidTr="005B4876">
        <w:trPr>
          <w:trHeight w:val="305"/>
        </w:trPr>
        <w:tc>
          <w:tcPr>
            <w:tcW w:w="0" w:type="auto"/>
            <w:tcBorders>
              <w:top w:val="nil"/>
              <w:left w:val="nil"/>
              <w:bottom w:val="single" w:sz="4" w:space="0" w:color="auto"/>
              <w:right w:val="nil"/>
            </w:tcBorders>
            <w:shd w:val="clear" w:color="auto" w:fill="auto"/>
            <w:hideMark/>
          </w:tcPr>
          <w:p w:rsidR="00D55472" w:rsidRPr="0063061C" w:rsidRDefault="00D55472" w:rsidP="005B4876">
            <w:pPr>
              <w:spacing w:after="0" w:line="240" w:lineRule="auto"/>
              <w:jc w:val="center"/>
              <w:rPr>
                <w:rFonts w:ascii="Times New Roman" w:eastAsia="Times New Roman" w:hAnsi="Times New Roman" w:cs="Times New Roman"/>
                <w:sz w:val="24"/>
                <w:szCs w:val="24"/>
                <w:lang w:val="en-US" w:eastAsia="ru-RU"/>
              </w:rPr>
            </w:pPr>
            <w:r w:rsidRPr="0063061C">
              <w:rPr>
                <w:rFonts w:ascii="Times New Roman" w:eastAsia="Times New Roman" w:hAnsi="Times New Roman" w:cs="Times New Roman"/>
                <w:sz w:val="24"/>
                <w:szCs w:val="24"/>
                <w:lang w:val="en-US" w:eastAsia="ru-RU"/>
              </w:rPr>
              <w:t>H4</w:t>
            </w:r>
          </w:p>
        </w:tc>
        <w:tc>
          <w:tcPr>
            <w:tcW w:w="0" w:type="auto"/>
            <w:tcBorders>
              <w:top w:val="nil"/>
              <w:left w:val="nil"/>
              <w:bottom w:val="single" w:sz="4" w:space="0" w:color="auto"/>
              <w:right w:val="nil"/>
            </w:tcBorders>
            <w:shd w:val="clear" w:color="auto" w:fill="auto"/>
            <w:hideMark/>
          </w:tcPr>
          <w:p w:rsidR="00D55472" w:rsidRPr="0063061C" w:rsidRDefault="00D55472" w:rsidP="005B4876">
            <w:pPr>
              <w:spacing w:after="0" w:line="240" w:lineRule="auto"/>
              <w:jc w:val="center"/>
              <w:rPr>
                <w:rFonts w:ascii="Times New Roman" w:eastAsia="Times New Roman" w:hAnsi="Times New Roman" w:cs="Times New Roman"/>
                <w:sz w:val="24"/>
                <w:szCs w:val="24"/>
                <w:lang w:val="en-US" w:eastAsia="ru-RU"/>
              </w:rPr>
            </w:pPr>
            <w:r w:rsidRPr="0063061C">
              <w:rPr>
                <w:rFonts w:ascii="Times New Roman" w:eastAsia="Times New Roman" w:hAnsi="Times New Roman" w:cs="Times New Roman"/>
                <w:sz w:val="24"/>
                <w:szCs w:val="24"/>
                <w:lang w:val="en-US" w:eastAsia="ru-RU"/>
              </w:rPr>
              <w:t>Less than 120%</w:t>
            </w:r>
          </w:p>
        </w:tc>
        <w:tc>
          <w:tcPr>
            <w:tcW w:w="0" w:type="auto"/>
            <w:tcBorders>
              <w:top w:val="nil"/>
              <w:left w:val="nil"/>
              <w:bottom w:val="single" w:sz="4" w:space="0" w:color="auto"/>
              <w:right w:val="nil"/>
            </w:tcBorders>
            <w:shd w:val="clear" w:color="auto" w:fill="auto"/>
            <w:hideMark/>
          </w:tcPr>
          <w:p w:rsidR="00D55472" w:rsidRPr="0063061C" w:rsidRDefault="00D55472" w:rsidP="005B4876">
            <w:pPr>
              <w:spacing w:after="0" w:line="240" w:lineRule="auto"/>
              <w:jc w:val="center"/>
              <w:rPr>
                <w:rFonts w:ascii="Times New Roman" w:eastAsia="Times New Roman" w:hAnsi="Times New Roman" w:cs="Times New Roman"/>
                <w:sz w:val="24"/>
                <w:szCs w:val="24"/>
                <w:lang w:val="en-US" w:eastAsia="ru-RU"/>
              </w:rPr>
            </w:pPr>
            <w:r w:rsidRPr="0063061C">
              <w:rPr>
                <w:rFonts w:ascii="Times New Roman" w:eastAsia="Times New Roman" w:hAnsi="Times New Roman" w:cs="Times New Roman"/>
                <w:sz w:val="24"/>
                <w:szCs w:val="24"/>
                <w:lang w:val="en-US" w:eastAsia="ru-RU"/>
              </w:rPr>
              <w:t>0.00%</w:t>
            </w:r>
          </w:p>
        </w:tc>
        <w:tc>
          <w:tcPr>
            <w:tcW w:w="0" w:type="auto"/>
            <w:tcBorders>
              <w:top w:val="nil"/>
              <w:left w:val="nil"/>
              <w:bottom w:val="single" w:sz="4" w:space="0" w:color="auto"/>
              <w:right w:val="nil"/>
            </w:tcBorders>
            <w:shd w:val="clear" w:color="auto" w:fill="auto"/>
            <w:hideMark/>
          </w:tcPr>
          <w:p w:rsidR="00D55472" w:rsidRPr="0063061C" w:rsidRDefault="00D55472" w:rsidP="005B4876">
            <w:pPr>
              <w:spacing w:after="0" w:line="240" w:lineRule="auto"/>
              <w:jc w:val="center"/>
              <w:rPr>
                <w:rFonts w:ascii="Times New Roman" w:eastAsia="Times New Roman" w:hAnsi="Times New Roman" w:cs="Times New Roman"/>
                <w:sz w:val="24"/>
                <w:szCs w:val="24"/>
                <w:lang w:val="en-US" w:eastAsia="ru-RU"/>
              </w:rPr>
            </w:pPr>
            <w:r w:rsidRPr="0063061C">
              <w:rPr>
                <w:rFonts w:ascii="Times New Roman" w:eastAsia="Times New Roman" w:hAnsi="Times New Roman" w:cs="Times New Roman"/>
                <w:sz w:val="24"/>
                <w:szCs w:val="24"/>
                <w:lang w:val="en-US" w:eastAsia="ru-RU"/>
              </w:rPr>
              <w:t>0.73%</w:t>
            </w:r>
          </w:p>
        </w:tc>
        <w:tc>
          <w:tcPr>
            <w:tcW w:w="0" w:type="auto"/>
            <w:tcBorders>
              <w:top w:val="nil"/>
              <w:left w:val="nil"/>
              <w:bottom w:val="single" w:sz="4" w:space="0" w:color="auto"/>
              <w:right w:val="nil"/>
            </w:tcBorders>
            <w:shd w:val="clear" w:color="auto" w:fill="auto"/>
            <w:hideMark/>
          </w:tcPr>
          <w:p w:rsidR="00D55472" w:rsidRPr="0063061C" w:rsidRDefault="00D55472" w:rsidP="005B4876">
            <w:pPr>
              <w:spacing w:after="0" w:line="240" w:lineRule="auto"/>
              <w:jc w:val="center"/>
              <w:rPr>
                <w:rFonts w:ascii="Times New Roman" w:eastAsia="Times New Roman" w:hAnsi="Times New Roman" w:cs="Times New Roman"/>
                <w:sz w:val="24"/>
                <w:szCs w:val="24"/>
                <w:lang w:val="en-US" w:eastAsia="ru-RU"/>
              </w:rPr>
            </w:pPr>
            <w:r w:rsidRPr="0063061C">
              <w:rPr>
                <w:rFonts w:ascii="Times New Roman" w:eastAsia="Times New Roman" w:hAnsi="Times New Roman" w:cs="Times New Roman"/>
                <w:sz w:val="24"/>
                <w:szCs w:val="24"/>
                <w:lang w:val="en-US" w:eastAsia="ru-RU"/>
              </w:rPr>
              <w:t>0.00%</w:t>
            </w:r>
          </w:p>
        </w:tc>
      </w:tr>
    </w:tbl>
    <w:p w:rsidR="00D55472" w:rsidRPr="0063061C" w:rsidRDefault="00D55472" w:rsidP="00D55472">
      <w:pPr>
        <w:spacing w:after="120" w:line="240" w:lineRule="auto"/>
        <w:ind w:firstLine="567"/>
        <w:jc w:val="both"/>
        <w:rPr>
          <w:rFonts w:ascii="Times New Roman" w:hAnsi="Times New Roman" w:cs="Times New Roman"/>
          <w:sz w:val="24"/>
          <w:szCs w:val="24"/>
          <w:lang w:val="en-US"/>
        </w:rPr>
      </w:pPr>
    </w:p>
    <w:p w:rsidR="00D55472" w:rsidRPr="0063061C" w:rsidRDefault="00D55472" w:rsidP="00D55472">
      <w:pPr>
        <w:spacing w:after="12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Treasury is responsible for the real-time management of </w:t>
      </w:r>
      <w:r w:rsidRPr="0063061C">
        <w:rPr>
          <w:rFonts w:ascii="Times New Roman" w:hAnsi="Times New Roman" w:cs="Times New Roman"/>
          <w:sz w:val="24"/>
          <w:szCs w:val="24"/>
          <w:lang w:val="en-US"/>
        </w:rPr>
        <w:t xml:space="preserve">NCC’s </w:t>
      </w:r>
      <w:r>
        <w:rPr>
          <w:rFonts w:ascii="Times New Roman" w:hAnsi="Times New Roman" w:cs="Times New Roman"/>
          <w:sz w:val="24"/>
          <w:szCs w:val="24"/>
          <w:lang w:val="en-US"/>
        </w:rPr>
        <w:t xml:space="preserve">current </w:t>
      </w:r>
      <w:r w:rsidRPr="0063061C">
        <w:rPr>
          <w:rFonts w:ascii="Times New Roman" w:hAnsi="Times New Roman" w:cs="Times New Roman"/>
          <w:sz w:val="24"/>
          <w:szCs w:val="24"/>
          <w:lang w:val="en-US"/>
        </w:rPr>
        <w:t xml:space="preserve">liquidity </w:t>
      </w:r>
      <w:r>
        <w:rPr>
          <w:rFonts w:ascii="Times New Roman" w:hAnsi="Times New Roman" w:cs="Times New Roman"/>
          <w:sz w:val="24"/>
          <w:szCs w:val="24"/>
          <w:lang w:val="en-US"/>
        </w:rPr>
        <w:t xml:space="preserve">position, while </w:t>
      </w:r>
      <w:r w:rsidR="0093352E">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risk management </w:t>
      </w:r>
      <w:r w:rsidRPr="0063061C">
        <w:rPr>
          <w:rFonts w:ascii="Times New Roman" w:hAnsi="Times New Roman" w:cs="Times New Roman"/>
          <w:sz w:val="24"/>
          <w:szCs w:val="24"/>
          <w:lang w:val="en-US"/>
        </w:rPr>
        <w:t xml:space="preserve">department regularly performs </w:t>
      </w:r>
      <w:r w:rsidR="0093352E">
        <w:rPr>
          <w:rFonts w:ascii="Times New Roman" w:hAnsi="Times New Roman" w:cs="Times New Roman"/>
          <w:sz w:val="24"/>
          <w:szCs w:val="24"/>
          <w:lang w:val="en-US"/>
        </w:rPr>
        <w:t xml:space="preserve">a </w:t>
      </w:r>
      <w:r w:rsidRPr="0063061C">
        <w:rPr>
          <w:rFonts w:ascii="Times New Roman" w:hAnsi="Times New Roman" w:cs="Times New Roman"/>
          <w:sz w:val="24"/>
          <w:szCs w:val="24"/>
          <w:lang w:val="en-US"/>
        </w:rPr>
        <w:t xml:space="preserve">prospective analysis of NCC’s liquidity. The </w:t>
      </w:r>
      <w:r>
        <w:rPr>
          <w:rFonts w:ascii="Times New Roman" w:hAnsi="Times New Roman" w:cs="Times New Roman"/>
          <w:sz w:val="24"/>
          <w:szCs w:val="24"/>
          <w:lang w:val="en-US"/>
        </w:rPr>
        <w:t xml:space="preserve">liquidity analysis is </w:t>
      </w:r>
      <w:r w:rsidRPr="0063061C">
        <w:rPr>
          <w:rFonts w:ascii="Times New Roman" w:hAnsi="Times New Roman" w:cs="Times New Roman"/>
          <w:sz w:val="24"/>
          <w:szCs w:val="24"/>
          <w:lang w:val="en-US"/>
        </w:rPr>
        <w:t>conducted monthly and i</w:t>
      </w:r>
      <w:r>
        <w:rPr>
          <w:rFonts w:ascii="Times New Roman" w:hAnsi="Times New Roman" w:cs="Times New Roman"/>
          <w:sz w:val="24"/>
          <w:szCs w:val="24"/>
          <w:lang w:val="en-US"/>
        </w:rPr>
        <w:t>ncludes</w:t>
      </w:r>
      <w:r w:rsidRPr="0063061C">
        <w:rPr>
          <w:rFonts w:ascii="Times New Roman" w:hAnsi="Times New Roman" w:cs="Times New Roman"/>
          <w:sz w:val="24"/>
          <w:szCs w:val="24"/>
          <w:lang w:val="en-US"/>
        </w:rPr>
        <w:t xml:space="preserve"> the analys</w:t>
      </w:r>
      <w:r>
        <w:rPr>
          <w:rFonts w:ascii="Times New Roman" w:hAnsi="Times New Roman" w:cs="Times New Roman"/>
          <w:sz w:val="24"/>
          <w:szCs w:val="24"/>
          <w:lang w:val="en-US"/>
        </w:rPr>
        <w:t>i</w:t>
      </w:r>
      <w:r w:rsidRPr="0063061C">
        <w:rPr>
          <w:rFonts w:ascii="Times New Roman" w:hAnsi="Times New Roman" w:cs="Times New Roman"/>
          <w:sz w:val="24"/>
          <w:szCs w:val="24"/>
          <w:lang w:val="en-US"/>
        </w:rPr>
        <w:t>s of liquidity gaps and liquidity ratio</w:t>
      </w:r>
      <w:r>
        <w:rPr>
          <w:rFonts w:ascii="Times New Roman" w:hAnsi="Times New Roman" w:cs="Times New Roman"/>
          <w:sz w:val="24"/>
          <w:szCs w:val="24"/>
          <w:lang w:val="en-US"/>
        </w:rPr>
        <w:t>s</w:t>
      </w:r>
      <w:r w:rsidRPr="0063061C">
        <w:rPr>
          <w:rFonts w:ascii="Times New Roman" w:hAnsi="Times New Roman" w:cs="Times New Roman"/>
          <w:sz w:val="24"/>
          <w:szCs w:val="24"/>
          <w:lang w:val="en-US"/>
        </w:rPr>
        <w:t xml:space="preserve">. </w:t>
      </w:r>
      <w:r w:rsidR="0093352E">
        <w:rPr>
          <w:rFonts w:ascii="Times New Roman" w:hAnsi="Times New Roman" w:cs="Times New Roman"/>
          <w:sz w:val="24"/>
          <w:szCs w:val="24"/>
          <w:lang w:val="en-US"/>
        </w:rPr>
        <w:t>A d</w:t>
      </w:r>
      <w:r w:rsidRPr="0063061C">
        <w:rPr>
          <w:rFonts w:ascii="Times New Roman" w:hAnsi="Times New Roman" w:cs="Times New Roman"/>
          <w:sz w:val="24"/>
          <w:szCs w:val="24"/>
          <w:lang w:val="en-US"/>
        </w:rPr>
        <w:t xml:space="preserve">etailed liquidity analysis </w:t>
      </w:r>
      <w:r>
        <w:rPr>
          <w:rFonts w:ascii="Times New Roman" w:hAnsi="Times New Roman" w:cs="Times New Roman"/>
          <w:sz w:val="24"/>
          <w:szCs w:val="24"/>
          <w:lang w:val="en-US"/>
        </w:rPr>
        <w:t>is</w:t>
      </w:r>
      <w:r w:rsidRPr="0063061C">
        <w:rPr>
          <w:rFonts w:ascii="Times New Roman" w:hAnsi="Times New Roman" w:cs="Times New Roman"/>
          <w:sz w:val="24"/>
          <w:szCs w:val="24"/>
          <w:lang w:val="en-US"/>
        </w:rPr>
        <w:t xml:space="preserve"> based on internal model</w:t>
      </w:r>
      <w:r>
        <w:rPr>
          <w:rFonts w:ascii="Times New Roman" w:hAnsi="Times New Roman" w:cs="Times New Roman"/>
          <w:sz w:val="24"/>
          <w:szCs w:val="24"/>
          <w:lang w:val="en-US"/>
        </w:rPr>
        <w:t>s</w:t>
      </w:r>
      <w:r w:rsidRPr="0063061C">
        <w:rPr>
          <w:rFonts w:ascii="Times New Roman" w:hAnsi="Times New Roman" w:cs="Times New Roman"/>
          <w:sz w:val="24"/>
          <w:szCs w:val="24"/>
          <w:lang w:val="en-US"/>
        </w:rPr>
        <w:t xml:space="preserve"> </w:t>
      </w:r>
      <w:r>
        <w:rPr>
          <w:rFonts w:ascii="Times New Roman" w:hAnsi="Times New Roman" w:cs="Times New Roman"/>
          <w:sz w:val="24"/>
          <w:szCs w:val="24"/>
          <w:lang w:val="en-US"/>
        </w:rPr>
        <w:t>using</w:t>
      </w:r>
      <w:r w:rsidRPr="0063061C">
        <w:rPr>
          <w:rFonts w:ascii="Times New Roman" w:hAnsi="Times New Roman" w:cs="Times New Roman"/>
          <w:sz w:val="24"/>
          <w:szCs w:val="24"/>
          <w:lang w:val="en-US"/>
        </w:rPr>
        <w:t xml:space="preserve"> statistical models</w:t>
      </w:r>
      <w:r>
        <w:rPr>
          <w:rFonts w:ascii="Times New Roman" w:hAnsi="Times New Roman" w:cs="Times New Roman"/>
          <w:sz w:val="24"/>
          <w:szCs w:val="24"/>
          <w:lang w:val="en-US"/>
        </w:rPr>
        <w:t xml:space="preserve"> for</w:t>
      </w:r>
      <w:r w:rsidRPr="0063061C">
        <w:rPr>
          <w:rFonts w:ascii="Times New Roman" w:hAnsi="Times New Roman" w:cs="Times New Roman"/>
          <w:sz w:val="24"/>
          <w:szCs w:val="24"/>
          <w:lang w:val="en-US"/>
        </w:rPr>
        <w:t xml:space="preserve"> calculating maximum </w:t>
      </w:r>
      <w:r>
        <w:rPr>
          <w:rFonts w:ascii="Times New Roman" w:hAnsi="Times New Roman" w:cs="Times New Roman"/>
          <w:sz w:val="24"/>
          <w:szCs w:val="24"/>
          <w:lang w:val="en-US"/>
        </w:rPr>
        <w:t>cash outflows</w:t>
      </w:r>
      <w:r w:rsidRPr="0063061C">
        <w:rPr>
          <w:rFonts w:ascii="Times New Roman" w:hAnsi="Times New Roman" w:cs="Times New Roman"/>
          <w:sz w:val="24"/>
          <w:szCs w:val="24"/>
          <w:lang w:val="en-US"/>
        </w:rPr>
        <w:t>.</w:t>
      </w:r>
    </w:p>
    <w:p w:rsidR="00D55472" w:rsidRPr="0093352E" w:rsidRDefault="00D55472" w:rsidP="00D55472">
      <w:pPr>
        <w:spacing w:after="120" w:line="240" w:lineRule="auto"/>
        <w:ind w:firstLine="567"/>
        <w:jc w:val="both"/>
        <w:rPr>
          <w:rFonts w:ascii="Times New Roman" w:hAnsi="Times New Roman" w:cs="Times New Roman"/>
          <w:sz w:val="24"/>
          <w:szCs w:val="24"/>
          <w:lang w:val="en-US"/>
        </w:rPr>
      </w:pPr>
      <w:r w:rsidRPr="0063061C">
        <w:rPr>
          <w:rFonts w:ascii="Times New Roman" w:hAnsi="Times New Roman" w:cs="Times New Roman"/>
          <w:sz w:val="24"/>
          <w:szCs w:val="24"/>
          <w:lang w:val="en-US"/>
        </w:rPr>
        <w:t xml:space="preserve">The stable </w:t>
      </w:r>
      <w:r>
        <w:rPr>
          <w:rFonts w:ascii="Times New Roman" w:hAnsi="Times New Roman" w:cs="Times New Roman"/>
          <w:sz w:val="24"/>
          <w:szCs w:val="24"/>
          <w:lang w:val="en-US"/>
        </w:rPr>
        <w:t>portion</w:t>
      </w:r>
      <w:r w:rsidRPr="0063061C">
        <w:rPr>
          <w:rFonts w:ascii="Times New Roman" w:hAnsi="Times New Roman" w:cs="Times New Roman"/>
          <w:sz w:val="24"/>
          <w:szCs w:val="24"/>
          <w:lang w:val="en-US"/>
        </w:rPr>
        <w:t xml:space="preserve"> of client</w:t>
      </w:r>
      <w:r>
        <w:rPr>
          <w:rFonts w:ascii="Times New Roman" w:hAnsi="Times New Roman" w:cs="Times New Roman"/>
          <w:sz w:val="24"/>
          <w:szCs w:val="24"/>
          <w:lang w:val="en-US"/>
        </w:rPr>
        <w:t>’s</w:t>
      </w:r>
      <w:r w:rsidRPr="0063061C">
        <w:rPr>
          <w:rFonts w:ascii="Times New Roman" w:hAnsi="Times New Roman" w:cs="Times New Roman"/>
          <w:sz w:val="24"/>
          <w:szCs w:val="24"/>
          <w:lang w:val="en-US"/>
        </w:rPr>
        <w:t xml:space="preserve"> </w:t>
      </w:r>
      <w:r>
        <w:rPr>
          <w:rFonts w:ascii="Times New Roman" w:hAnsi="Times New Roman" w:cs="Times New Roman"/>
          <w:sz w:val="24"/>
          <w:szCs w:val="24"/>
          <w:lang w:val="en-US"/>
        </w:rPr>
        <w:t>cash collateral</w:t>
      </w:r>
      <w:r w:rsidRPr="0063061C">
        <w:rPr>
          <w:rFonts w:ascii="Times New Roman" w:hAnsi="Times New Roman" w:cs="Times New Roman"/>
          <w:sz w:val="24"/>
          <w:szCs w:val="24"/>
          <w:lang w:val="en-US"/>
        </w:rPr>
        <w:t xml:space="preserve"> is </w:t>
      </w:r>
      <w:r>
        <w:rPr>
          <w:rFonts w:ascii="Times New Roman" w:hAnsi="Times New Roman" w:cs="Times New Roman"/>
          <w:sz w:val="24"/>
          <w:szCs w:val="24"/>
          <w:lang w:val="en-US"/>
        </w:rPr>
        <w:t>calculated using</w:t>
      </w:r>
      <w:r w:rsidRPr="0063061C">
        <w:rPr>
          <w:rFonts w:ascii="Times New Roman" w:hAnsi="Times New Roman" w:cs="Times New Roman"/>
          <w:sz w:val="24"/>
          <w:szCs w:val="24"/>
          <w:lang w:val="en-US"/>
        </w:rPr>
        <w:t xml:space="preserve"> </w:t>
      </w:r>
      <w:r w:rsidRPr="002A1F0F">
        <w:rPr>
          <w:rFonts w:ascii="Times New Roman" w:hAnsi="Times New Roman" w:cs="Times New Roman"/>
          <w:sz w:val="24"/>
          <w:szCs w:val="24"/>
          <w:lang w:val="en-US"/>
        </w:rPr>
        <w:t>stochastic</w:t>
      </w:r>
      <w:r w:rsidRPr="0063061C">
        <w:rPr>
          <w:rFonts w:ascii="Times New Roman" w:hAnsi="Times New Roman" w:cs="Times New Roman"/>
          <w:sz w:val="24"/>
          <w:szCs w:val="24"/>
          <w:lang w:val="en-US"/>
        </w:rPr>
        <w:t xml:space="preserve"> approaches similar to </w:t>
      </w:r>
      <w:proofErr w:type="spellStart"/>
      <w:r w:rsidRPr="0063061C">
        <w:rPr>
          <w:rFonts w:ascii="Times New Roman" w:hAnsi="Times New Roman" w:cs="Times New Roman"/>
          <w:sz w:val="24"/>
          <w:szCs w:val="24"/>
          <w:lang w:val="en-US"/>
        </w:rPr>
        <w:t>VaR</w:t>
      </w:r>
      <w:proofErr w:type="spellEnd"/>
      <w:r w:rsidRPr="0063061C">
        <w:rPr>
          <w:rFonts w:ascii="Times New Roman" w:hAnsi="Times New Roman" w:cs="Times New Roman"/>
          <w:sz w:val="24"/>
          <w:szCs w:val="24"/>
          <w:lang w:val="en-US"/>
        </w:rPr>
        <w:t xml:space="preserve"> methods. </w:t>
      </w:r>
      <w:r>
        <w:rPr>
          <w:rFonts w:ascii="Times New Roman" w:hAnsi="Times New Roman" w:cs="Times New Roman"/>
          <w:sz w:val="24"/>
          <w:szCs w:val="24"/>
          <w:lang w:val="en-US"/>
        </w:rPr>
        <w:t>S</w:t>
      </w:r>
      <w:r w:rsidRPr="0063061C">
        <w:rPr>
          <w:rFonts w:ascii="Times New Roman" w:hAnsi="Times New Roman" w:cs="Times New Roman"/>
          <w:sz w:val="24"/>
          <w:szCs w:val="24"/>
          <w:lang w:val="en-US"/>
        </w:rPr>
        <w:t>easonal and economic factors</w:t>
      </w:r>
      <w:r>
        <w:rPr>
          <w:rFonts w:ascii="Times New Roman" w:hAnsi="Times New Roman" w:cs="Times New Roman"/>
          <w:sz w:val="24"/>
          <w:szCs w:val="24"/>
          <w:lang w:val="en-US"/>
        </w:rPr>
        <w:t xml:space="preserve"> </w:t>
      </w:r>
      <w:r w:rsidRPr="0063061C">
        <w:rPr>
          <w:rFonts w:ascii="Times New Roman" w:hAnsi="Times New Roman" w:cs="Times New Roman"/>
          <w:sz w:val="24"/>
          <w:szCs w:val="24"/>
          <w:lang w:val="en-US"/>
        </w:rPr>
        <w:t>(trading days before holiday</w:t>
      </w:r>
      <w:r>
        <w:rPr>
          <w:rFonts w:ascii="Times New Roman" w:hAnsi="Times New Roman" w:cs="Times New Roman"/>
          <w:sz w:val="24"/>
          <w:szCs w:val="24"/>
          <w:lang w:val="en-US"/>
        </w:rPr>
        <w:t>s</w:t>
      </w:r>
      <w:r w:rsidRPr="0063061C">
        <w:rPr>
          <w:rFonts w:ascii="Times New Roman" w:hAnsi="Times New Roman" w:cs="Times New Roman"/>
          <w:sz w:val="24"/>
          <w:szCs w:val="24"/>
          <w:lang w:val="en-US"/>
        </w:rPr>
        <w:t xml:space="preserve">, </w:t>
      </w:r>
      <w:r>
        <w:rPr>
          <w:rFonts w:ascii="Times New Roman" w:hAnsi="Times New Roman" w:cs="Times New Roman"/>
          <w:sz w:val="24"/>
          <w:szCs w:val="24"/>
          <w:lang w:val="en-US"/>
        </w:rPr>
        <w:t>initial margin requirements,</w:t>
      </w:r>
      <w:r w:rsidRPr="0063061C">
        <w:rPr>
          <w:rFonts w:ascii="Times New Roman" w:hAnsi="Times New Roman" w:cs="Times New Roman"/>
          <w:sz w:val="24"/>
          <w:szCs w:val="24"/>
          <w:lang w:val="en-US"/>
        </w:rPr>
        <w:t xml:space="preserve"> etc.)</w:t>
      </w:r>
      <w:r>
        <w:rPr>
          <w:rFonts w:ascii="Times New Roman" w:hAnsi="Times New Roman" w:cs="Times New Roman"/>
          <w:sz w:val="24"/>
          <w:szCs w:val="24"/>
          <w:lang w:val="en-US"/>
        </w:rPr>
        <w:t xml:space="preserve"> are also taken into account while </w:t>
      </w:r>
      <w:r w:rsidRPr="0063061C">
        <w:rPr>
          <w:rFonts w:ascii="Times New Roman" w:hAnsi="Times New Roman" w:cs="Times New Roman"/>
          <w:sz w:val="24"/>
          <w:szCs w:val="24"/>
          <w:lang w:val="en-US"/>
        </w:rPr>
        <w:t>estimatin</w:t>
      </w:r>
      <w:r>
        <w:rPr>
          <w:rFonts w:ascii="Times New Roman" w:hAnsi="Times New Roman" w:cs="Times New Roman"/>
          <w:sz w:val="24"/>
          <w:szCs w:val="24"/>
          <w:lang w:val="en-US"/>
        </w:rPr>
        <w:t>g</w:t>
      </w:r>
      <w:r w:rsidRPr="0063061C">
        <w:rPr>
          <w:rFonts w:ascii="Times New Roman" w:hAnsi="Times New Roman" w:cs="Times New Roman"/>
          <w:sz w:val="24"/>
          <w:szCs w:val="24"/>
          <w:lang w:val="en-US"/>
        </w:rPr>
        <w:t xml:space="preserve"> </w:t>
      </w:r>
      <w:r>
        <w:rPr>
          <w:rFonts w:ascii="Times New Roman" w:hAnsi="Times New Roman" w:cs="Times New Roman"/>
          <w:sz w:val="24"/>
          <w:szCs w:val="24"/>
          <w:lang w:val="en-US"/>
        </w:rPr>
        <w:t>cash outflows.</w:t>
      </w:r>
      <w:r w:rsidRPr="0063061C">
        <w:rPr>
          <w:rFonts w:ascii="Times New Roman" w:hAnsi="Times New Roman" w:cs="Times New Roman"/>
          <w:sz w:val="24"/>
          <w:szCs w:val="24"/>
          <w:lang w:val="en-US"/>
        </w:rPr>
        <w:t xml:space="preserve"> </w:t>
      </w:r>
    </w:p>
    <w:p w:rsidR="00D55472" w:rsidRPr="0063061C" w:rsidRDefault="0093352E" w:rsidP="00D55472">
      <w:pPr>
        <w:tabs>
          <w:tab w:val="left" w:pos="0"/>
          <w:tab w:val="num" w:pos="567"/>
        </w:tabs>
        <w:spacing w:after="120" w:line="240" w:lineRule="auto"/>
        <w:ind w:firstLine="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 m</w:t>
      </w:r>
      <w:r w:rsidR="00D55472" w:rsidRPr="0063061C">
        <w:rPr>
          <w:rFonts w:ascii="Times New Roman" w:eastAsia="Calibri" w:hAnsi="Times New Roman" w:cs="Times New Roman"/>
          <w:sz w:val="24"/>
          <w:szCs w:val="24"/>
          <w:lang w:val="en-US"/>
        </w:rPr>
        <w:t xml:space="preserve">onthly liquidity ratios monitoring shows the excess of liquidity in 2013 for all periods, the minimum liquidity ratio did not fall below 11% for the period "less than 30 days" as shown in the following </w:t>
      </w:r>
      <w:r w:rsidR="00D55472">
        <w:rPr>
          <w:rFonts w:ascii="Times New Roman" w:eastAsia="Calibri" w:hAnsi="Times New Roman" w:cs="Times New Roman"/>
          <w:sz w:val="24"/>
          <w:szCs w:val="24"/>
          <w:lang w:val="en-US"/>
        </w:rPr>
        <w:t>chart</w:t>
      </w:r>
      <w:r w:rsidR="00D55472" w:rsidRPr="0063061C">
        <w:rPr>
          <w:rFonts w:ascii="Times New Roman" w:eastAsia="Calibri" w:hAnsi="Times New Roman" w:cs="Times New Roman"/>
          <w:sz w:val="24"/>
          <w:szCs w:val="24"/>
          <w:lang w:val="en-US"/>
        </w:rPr>
        <w:t>:</w:t>
      </w:r>
    </w:p>
    <w:p w:rsidR="00D55472" w:rsidRPr="0063061C" w:rsidRDefault="00D55472" w:rsidP="00D55472">
      <w:pPr>
        <w:tabs>
          <w:tab w:val="left" w:pos="0"/>
          <w:tab w:val="num" w:pos="567"/>
        </w:tabs>
        <w:spacing w:before="100" w:after="120" w:line="240" w:lineRule="auto"/>
        <w:jc w:val="center"/>
        <w:rPr>
          <w:rFonts w:ascii="Times New Roman" w:eastAsia="Calibri" w:hAnsi="Times New Roman" w:cs="Times New Roman"/>
          <w:b/>
          <w:sz w:val="24"/>
          <w:szCs w:val="24"/>
          <w:lang w:val="en-US"/>
        </w:rPr>
      </w:pPr>
      <w:r w:rsidRPr="0063061C">
        <w:rPr>
          <w:rFonts w:ascii="Times New Roman" w:eastAsia="Calibri" w:hAnsi="Times New Roman" w:cs="Times New Roman"/>
          <w:b/>
          <w:sz w:val="24"/>
          <w:szCs w:val="24"/>
          <w:lang w:val="en-US"/>
        </w:rPr>
        <w:t>Liquidity ratios (internal estimations)</w:t>
      </w:r>
    </w:p>
    <w:p w:rsidR="00D55472" w:rsidRPr="0063061C" w:rsidRDefault="00D55472" w:rsidP="00D55472">
      <w:pPr>
        <w:tabs>
          <w:tab w:val="num" w:pos="567"/>
          <w:tab w:val="left" w:pos="600"/>
        </w:tabs>
        <w:spacing w:before="100" w:after="120" w:line="240" w:lineRule="auto"/>
        <w:jc w:val="center"/>
        <w:rPr>
          <w:rFonts w:ascii="Times New Roman" w:eastAsia="+mn-ea" w:hAnsi="Times New Roman" w:cs="Times New Roman"/>
          <w:sz w:val="24"/>
          <w:szCs w:val="24"/>
          <w:lang w:val="en-US"/>
        </w:rPr>
      </w:pPr>
      <w:proofErr w:type="gramStart"/>
      <w:r w:rsidRPr="0063061C">
        <w:rPr>
          <w:rFonts w:ascii="Times New Roman" w:eastAsia="Calibri" w:hAnsi="Times New Roman" w:cs="Times New Roman"/>
          <w:b/>
          <w:sz w:val="24"/>
          <w:szCs w:val="24"/>
          <w:lang w:val="en-US"/>
        </w:rPr>
        <w:t>as</w:t>
      </w:r>
      <w:proofErr w:type="gramEnd"/>
      <w:r w:rsidRPr="0063061C">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of</w:t>
      </w:r>
      <w:r w:rsidRPr="00953626">
        <w:rPr>
          <w:rFonts w:ascii="Times New Roman" w:eastAsia="Calibri" w:hAnsi="Times New Roman" w:cs="Times New Roman"/>
          <w:b/>
          <w:color w:val="FF0000"/>
          <w:sz w:val="24"/>
          <w:szCs w:val="24"/>
          <w:lang w:val="en-US"/>
        </w:rPr>
        <w:t xml:space="preserve"> </w:t>
      </w:r>
      <w:r w:rsidRPr="00F80FD3">
        <w:rPr>
          <w:rFonts w:ascii="Times New Roman" w:eastAsia="Calibri" w:hAnsi="Times New Roman" w:cs="Times New Roman"/>
          <w:b/>
          <w:sz w:val="24"/>
          <w:szCs w:val="24"/>
          <w:lang w:val="en-US"/>
        </w:rPr>
        <w:t xml:space="preserve"> January</w:t>
      </w:r>
      <w:r>
        <w:rPr>
          <w:rFonts w:ascii="Times New Roman" w:eastAsia="Calibri" w:hAnsi="Times New Roman" w:cs="Times New Roman"/>
          <w:b/>
          <w:sz w:val="24"/>
          <w:szCs w:val="24"/>
          <w:lang w:val="en-US"/>
        </w:rPr>
        <w:t xml:space="preserve"> 1,</w:t>
      </w:r>
      <w:r w:rsidRPr="00F80FD3">
        <w:rPr>
          <w:rFonts w:ascii="Times New Roman" w:eastAsia="Calibri" w:hAnsi="Times New Roman" w:cs="Times New Roman"/>
          <w:b/>
          <w:sz w:val="24"/>
          <w:szCs w:val="24"/>
          <w:lang w:val="en-US"/>
        </w:rPr>
        <w:t xml:space="preserve"> 2014</w:t>
      </w:r>
    </w:p>
    <w:p w:rsidR="00D55472" w:rsidRPr="0063061C" w:rsidRDefault="00D55472" w:rsidP="00D55472">
      <w:pPr>
        <w:spacing w:after="120" w:line="240" w:lineRule="auto"/>
        <w:jc w:val="center"/>
        <w:rPr>
          <w:rFonts w:ascii="Times New Roman" w:hAnsi="Times New Roman" w:cs="Times New Roman"/>
          <w:b/>
          <w:sz w:val="24"/>
          <w:szCs w:val="24"/>
          <w:lang w:val="en-US"/>
        </w:rPr>
      </w:pPr>
      <w:r w:rsidRPr="0063061C">
        <w:rPr>
          <w:rFonts w:ascii="Times New Roman" w:hAnsi="Times New Roman" w:cs="Times New Roman"/>
          <w:noProof/>
          <w:sz w:val="24"/>
          <w:szCs w:val="24"/>
          <w:lang w:eastAsia="ru-RU"/>
        </w:rPr>
        <w:drawing>
          <wp:inline distT="0" distB="0" distL="0" distR="0" wp14:anchorId="02DDC379" wp14:editId="10A0AF35">
            <wp:extent cx="5848350" cy="277177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5848350" cy="2771775"/>
                    </a:xfrm>
                    <a:prstGeom prst="rect">
                      <a:avLst/>
                    </a:prstGeom>
                    <a:noFill/>
                    <a:ln w="9525">
                      <a:noFill/>
                      <a:miter lim="800000"/>
                      <a:headEnd/>
                      <a:tailEnd/>
                    </a:ln>
                  </pic:spPr>
                </pic:pic>
              </a:graphicData>
            </a:graphic>
          </wp:inline>
        </w:drawing>
      </w:r>
    </w:p>
    <w:p w:rsidR="00D55472" w:rsidRPr="0063061C" w:rsidRDefault="00D55472" w:rsidP="00D55472">
      <w:pPr>
        <w:spacing w:before="100" w:after="120" w:line="240" w:lineRule="auto"/>
        <w:jc w:val="center"/>
        <w:rPr>
          <w:rFonts w:ascii="Times New Roman" w:hAnsi="Times New Roman" w:cs="Times New Roman"/>
          <w:b/>
          <w:sz w:val="24"/>
          <w:szCs w:val="24"/>
          <w:lang w:val="en-US"/>
        </w:rPr>
      </w:pPr>
    </w:p>
    <w:p w:rsidR="00D55472" w:rsidRPr="0063061C" w:rsidRDefault="00D55472" w:rsidP="00D55472">
      <w:pPr>
        <w:spacing w:before="100" w:after="120" w:line="240" w:lineRule="auto"/>
        <w:jc w:val="center"/>
        <w:rPr>
          <w:rFonts w:ascii="Times New Roman" w:hAnsi="Times New Roman" w:cs="Times New Roman"/>
          <w:b/>
          <w:sz w:val="24"/>
          <w:szCs w:val="24"/>
          <w:lang w:val="en-US"/>
        </w:rPr>
      </w:pPr>
      <w:r w:rsidRPr="0063061C">
        <w:rPr>
          <w:rFonts w:ascii="Times New Roman" w:hAnsi="Times New Roman" w:cs="Times New Roman"/>
          <w:b/>
          <w:sz w:val="24"/>
          <w:szCs w:val="24"/>
          <w:lang w:val="en-US"/>
        </w:rPr>
        <w:t>Market risk management</w:t>
      </w:r>
    </w:p>
    <w:p w:rsidR="00D55472" w:rsidRPr="0063061C" w:rsidRDefault="00D55472" w:rsidP="00D55472">
      <w:pPr>
        <w:tabs>
          <w:tab w:val="left" w:pos="0"/>
          <w:tab w:val="num" w:pos="567"/>
        </w:tabs>
        <w:spacing w:after="120" w:line="240" w:lineRule="auto"/>
        <w:ind w:firstLine="567"/>
        <w:jc w:val="both"/>
        <w:rPr>
          <w:rFonts w:ascii="Times New Roman" w:eastAsia="Calibri" w:hAnsi="Times New Roman" w:cs="Times New Roman"/>
          <w:sz w:val="24"/>
          <w:szCs w:val="24"/>
          <w:lang w:val="en-US"/>
        </w:rPr>
      </w:pPr>
      <w:r w:rsidRPr="0063061C">
        <w:rPr>
          <w:rFonts w:ascii="Times New Roman" w:eastAsia="Calibri" w:hAnsi="Times New Roman" w:cs="Times New Roman"/>
          <w:sz w:val="24"/>
          <w:szCs w:val="24"/>
          <w:lang w:val="en-US"/>
        </w:rPr>
        <w:t>In order to mitigate the market risk (</w:t>
      </w:r>
      <w:r>
        <w:rPr>
          <w:rFonts w:ascii="Times New Roman" w:eastAsia="Calibri" w:hAnsi="Times New Roman" w:cs="Times New Roman"/>
          <w:sz w:val="24"/>
          <w:szCs w:val="24"/>
          <w:lang w:val="en-US"/>
        </w:rPr>
        <w:t>FX</w:t>
      </w:r>
      <w:r w:rsidRPr="0063061C">
        <w:rPr>
          <w:rFonts w:ascii="Times New Roman" w:eastAsia="Calibri" w:hAnsi="Times New Roman" w:cs="Times New Roman"/>
          <w:sz w:val="24"/>
          <w:szCs w:val="24"/>
          <w:lang w:val="en-US"/>
        </w:rPr>
        <w:t xml:space="preserve">, interest rate and price risk), NCC gives preference to investments in financial instruments with fixed interest rates </w:t>
      </w:r>
      <w:r>
        <w:rPr>
          <w:rFonts w:ascii="Times New Roman" w:eastAsia="Calibri" w:hAnsi="Times New Roman" w:cs="Times New Roman"/>
          <w:sz w:val="24"/>
          <w:szCs w:val="24"/>
          <w:lang w:val="en-US"/>
        </w:rPr>
        <w:t>and in securities</w:t>
      </w:r>
      <w:r w:rsidRPr="0063061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which are</w:t>
      </w:r>
      <w:r w:rsidRPr="0063061C">
        <w:rPr>
          <w:rFonts w:ascii="Times New Roman" w:eastAsia="Calibri" w:hAnsi="Times New Roman" w:cs="Times New Roman"/>
          <w:sz w:val="24"/>
          <w:szCs w:val="24"/>
          <w:lang w:val="en-US"/>
        </w:rPr>
        <w:t xml:space="preserve"> less volatile, more liquid and profitable. </w:t>
      </w:r>
    </w:p>
    <w:p w:rsidR="00D55472" w:rsidRPr="0063061C" w:rsidRDefault="00F674A5" w:rsidP="00D55472">
      <w:pPr>
        <w:tabs>
          <w:tab w:val="left" w:pos="0"/>
          <w:tab w:val="num" w:pos="567"/>
        </w:tabs>
        <w:spacing w:after="120" w:line="240" w:lineRule="auto"/>
        <w:ind w:firstLine="567"/>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The m</w:t>
      </w:r>
      <w:r w:rsidR="00D55472" w:rsidRPr="0063061C">
        <w:rPr>
          <w:rFonts w:ascii="Times New Roman" w:eastAsia="Calibri" w:hAnsi="Times New Roman" w:cs="Times New Roman"/>
          <w:sz w:val="24"/>
          <w:szCs w:val="24"/>
          <w:lang w:val="en-US"/>
        </w:rPr>
        <w:t xml:space="preserve">arket risk is assessed with the use of a supervisory method and the Bank's internal models based on </w:t>
      </w:r>
      <w:proofErr w:type="spellStart"/>
      <w:r w:rsidR="00D55472" w:rsidRPr="0063061C">
        <w:rPr>
          <w:rFonts w:ascii="Times New Roman" w:eastAsia="Calibri" w:hAnsi="Times New Roman" w:cs="Times New Roman"/>
          <w:sz w:val="24"/>
          <w:szCs w:val="24"/>
          <w:lang w:val="en-US"/>
        </w:rPr>
        <w:t>VaR.</w:t>
      </w:r>
      <w:proofErr w:type="spellEnd"/>
      <w:r w:rsidR="00D55472" w:rsidRPr="0063061C">
        <w:rPr>
          <w:rFonts w:ascii="Times New Roman" w:eastAsia="Calibri" w:hAnsi="Times New Roman" w:cs="Times New Roman"/>
          <w:sz w:val="24"/>
          <w:szCs w:val="24"/>
          <w:lang w:val="en-US"/>
        </w:rPr>
        <w:t xml:space="preserve"> For internal </w:t>
      </w:r>
      <w:r w:rsidR="00D55472">
        <w:rPr>
          <w:rFonts w:ascii="Times New Roman" w:eastAsia="Calibri" w:hAnsi="Times New Roman" w:cs="Times New Roman"/>
          <w:sz w:val="24"/>
          <w:szCs w:val="24"/>
          <w:lang w:val="en-US"/>
        </w:rPr>
        <w:t>needs</w:t>
      </w:r>
      <w:r w:rsidR="00D55472" w:rsidRPr="0063061C">
        <w:rPr>
          <w:rFonts w:ascii="Times New Roman" w:eastAsia="Calibri" w:hAnsi="Times New Roman" w:cs="Times New Roman"/>
          <w:sz w:val="24"/>
          <w:szCs w:val="24"/>
          <w:lang w:val="en-US"/>
        </w:rPr>
        <w:t xml:space="preserve"> NCC </w:t>
      </w:r>
      <w:r w:rsidR="00D55472">
        <w:rPr>
          <w:rFonts w:ascii="Times New Roman" w:eastAsia="Calibri" w:hAnsi="Times New Roman" w:cs="Times New Roman"/>
          <w:sz w:val="24"/>
          <w:szCs w:val="24"/>
          <w:lang w:val="en-US"/>
        </w:rPr>
        <w:t xml:space="preserve">uses </w:t>
      </w:r>
      <w:proofErr w:type="spellStart"/>
      <w:r w:rsidR="00D55472">
        <w:rPr>
          <w:rFonts w:ascii="Times New Roman" w:eastAsia="Calibri" w:hAnsi="Times New Roman" w:cs="Times New Roman"/>
          <w:sz w:val="24"/>
          <w:szCs w:val="24"/>
          <w:lang w:val="en-US"/>
        </w:rPr>
        <w:t>VaR</w:t>
      </w:r>
      <w:proofErr w:type="spellEnd"/>
      <w:r w:rsidR="00D55472">
        <w:rPr>
          <w:rFonts w:ascii="Times New Roman" w:eastAsia="Calibri" w:hAnsi="Times New Roman" w:cs="Times New Roman"/>
          <w:sz w:val="24"/>
          <w:szCs w:val="24"/>
          <w:lang w:val="en-US"/>
        </w:rPr>
        <w:t xml:space="preserve"> calculated for</w:t>
      </w:r>
      <w:r w:rsidR="00D55472" w:rsidRPr="0063061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the </w:t>
      </w:r>
      <w:r w:rsidR="00D55472">
        <w:rPr>
          <w:rFonts w:ascii="Times New Roman" w:eastAsia="Calibri" w:hAnsi="Times New Roman" w:cs="Times New Roman"/>
          <w:sz w:val="24"/>
          <w:szCs w:val="24"/>
          <w:lang w:val="en-US"/>
        </w:rPr>
        <w:t xml:space="preserve">securities </w:t>
      </w:r>
      <w:r w:rsidR="00D55472" w:rsidRPr="0063061C">
        <w:rPr>
          <w:rFonts w:ascii="Times New Roman" w:eastAsia="Calibri" w:hAnsi="Times New Roman" w:cs="Times New Roman"/>
          <w:sz w:val="24"/>
          <w:szCs w:val="24"/>
          <w:lang w:val="en-US"/>
        </w:rPr>
        <w:t>portfolio with</w:t>
      </w:r>
      <w:r>
        <w:rPr>
          <w:rFonts w:ascii="Times New Roman" w:eastAsia="Calibri" w:hAnsi="Times New Roman" w:cs="Times New Roman"/>
          <w:sz w:val="24"/>
          <w:szCs w:val="24"/>
          <w:lang w:val="en-US"/>
        </w:rPr>
        <w:t xml:space="preserve"> a</w:t>
      </w:r>
      <w:r w:rsidR="00D55472" w:rsidRPr="0063061C">
        <w:rPr>
          <w:rFonts w:ascii="Times New Roman" w:eastAsia="Calibri" w:hAnsi="Times New Roman" w:cs="Times New Roman"/>
          <w:sz w:val="24"/>
          <w:szCs w:val="24"/>
          <w:lang w:val="en-US"/>
        </w:rPr>
        <w:t xml:space="preserve"> confidence level of 99% </w:t>
      </w:r>
      <w:r w:rsidR="00D55472">
        <w:rPr>
          <w:rFonts w:ascii="Times New Roman" w:eastAsia="Calibri" w:hAnsi="Times New Roman" w:cs="Times New Roman"/>
          <w:sz w:val="24"/>
          <w:szCs w:val="24"/>
          <w:lang w:val="en-US"/>
        </w:rPr>
        <w:t xml:space="preserve">and a holding </w:t>
      </w:r>
      <w:r w:rsidR="00D55472" w:rsidRPr="0063061C">
        <w:rPr>
          <w:rFonts w:ascii="Times New Roman" w:eastAsia="Calibri" w:hAnsi="Times New Roman" w:cs="Times New Roman"/>
          <w:sz w:val="24"/>
          <w:szCs w:val="24"/>
          <w:lang w:val="en-US"/>
        </w:rPr>
        <w:t xml:space="preserve">period of 10 days. The </w:t>
      </w:r>
      <w:r w:rsidR="00D55472">
        <w:rPr>
          <w:rFonts w:ascii="Times New Roman" w:eastAsia="Calibri" w:hAnsi="Times New Roman" w:cs="Times New Roman"/>
          <w:sz w:val="24"/>
          <w:szCs w:val="24"/>
          <w:lang w:val="en-US"/>
        </w:rPr>
        <w:t>observation period</w:t>
      </w:r>
      <w:r w:rsidR="00D55472" w:rsidRPr="0063061C">
        <w:rPr>
          <w:rFonts w:ascii="Times New Roman" w:eastAsia="Calibri" w:hAnsi="Times New Roman" w:cs="Times New Roman"/>
          <w:sz w:val="24"/>
          <w:szCs w:val="24"/>
          <w:lang w:val="en-US"/>
        </w:rPr>
        <w:t xml:space="preserve"> depends on the data quality and </w:t>
      </w:r>
      <w:r w:rsidR="00D55472">
        <w:rPr>
          <w:rFonts w:ascii="Times New Roman" w:eastAsia="Calibri" w:hAnsi="Times New Roman" w:cs="Times New Roman"/>
          <w:sz w:val="24"/>
          <w:szCs w:val="24"/>
          <w:lang w:val="en-US"/>
        </w:rPr>
        <w:t>includes</w:t>
      </w:r>
      <w:r w:rsidR="00D55472" w:rsidRPr="0063061C">
        <w:rPr>
          <w:rFonts w:ascii="Times New Roman" w:eastAsia="Calibri" w:hAnsi="Times New Roman" w:cs="Times New Roman"/>
          <w:sz w:val="24"/>
          <w:szCs w:val="24"/>
          <w:lang w:val="en-US"/>
        </w:rPr>
        <w:t xml:space="preserve"> </w:t>
      </w:r>
      <w:r w:rsidR="00D55472">
        <w:rPr>
          <w:rFonts w:ascii="Times New Roman" w:eastAsia="Calibri" w:hAnsi="Times New Roman" w:cs="Times New Roman"/>
          <w:sz w:val="24"/>
          <w:szCs w:val="24"/>
          <w:lang w:val="en-US"/>
        </w:rPr>
        <w:t>no</w:t>
      </w:r>
      <w:r w:rsidR="00D55472" w:rsidRPr="0063061C">
        <w:rPr>
          <w:rFonts w:ascii="Times New Roman" w:eastAsia="Calibri" w:hAnsi="Times New Roman" w:cs="Times New Roman"/>
          <w:sz w:val="24"/>
          <w:szCs w:val="24"/>
          <w:lang w:val="en-US"/>
        </w:rPr>
        <w:t xml:space="preserve"> less than 1 year. </w:t>
      </w:r>
      <w:r w:rsidR="00D55472" w:rsidRPr="0063061C">
        <w:rPr>
          <w:rFonts w:ascii="Times New Roman" w:hAnsi="Times New Roman" w:cs="Times New Roman"/>
          <w:sz w:val="24"/>
          <w:szCs w:val="24"/>
          <w:lang w:val="en-US"/>
        </w:rPr>
        <w:t xml:space="preserve">The </w:t>
      </w:r>
      <w:r w:rsidR="00D55472">
        <w:rPr>
          <w:rFonts w:ascii="Times New Roman" w:hAnsi="Times New Roman" w:cs="Times New Roman"/>
          <w:sz w:val="24"/>
          <w:szCs w:val="24"/>
          <w:lang w:val="en-US"/>
        </w:rPr>
        <w:t>amount</w:t>
      </w:r>
      <w:r w:rsidR="00D55472" w:rsidRPr="0063061C">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an </w:t>
      </w:r>
      <w:r w:rsidR="00D55472" w:rsidRPr="0063061C">
        <w:rPr>
          <w:rFonts w:ascii="Times New Roman" w:hAnsi="Times New Roman" w:cs="Times New Roman"/>
          <w:sz w:val="24"/>
          <w:szCs w:val="24"/>
          <w:lang w:val="en-US"/>
        </w:rPr>
        <w:t xml:space="preserve">accepted </w:t>
      </w:r>
      <w:r w:rsidR="00D55472">
        <w:rPr>
          <w:rFonts w:ascii="Times New Roman" w:hAnsi="Times New Roman" w:cs="Times New Roman"/>
          <w:sz w:val="24"/>
          <w:szCs w:val="24"/>
          <w:lang w:val="en-US"/>
        </w:rPr>
        <w:t xml:space="preserve">market </w:t>
      </w:r>
      <w:r w:rsidR="00D55472" w:rsidRPr="0063061C">
        <w:rPr>
          <w:rFonts w:ascii="Times New Roman" w:hAnsi="Times New Roman" w:cs="Times New Roman"/>
          <w:sz w:val="24"/>
          <w:szCs w:val="24"/>
          <w:lang w:val="en-US"/>
        </w:rPr>
        <w:t xml:space="preserve">risk in 2013 was estimated as </w:t>
      </w:r>
      <w:r w:rsidR="00D55472">
        <w:rPr>
          <w:rFonts w:ascii="Times New Roman" w:hAnsi="Times New Roman" w:cs="Times New Roman"/>
          <w:sz w:val="24"/>
          <w:szCs w:val="24"/>
          <w:lang w:val="en-US"/>
        </w:rPr>
        <w:t>not-</w:t>
      </w:r>
      <w:r w:rsidR="00D55472" w:rsidRPr="0063061C">
        <w:rPr>
          <w:rFonts w:ascii="Times New Roman" w:hAnsi="Times New Roman" w:cs="Times New Roman"/>
          <w:sz w:val="24"/>
          <w:szCs w:val="24"/>
          <w:lang w:val="en-US"/>
        </w:rPr>
        <w:t>threatening NCC</w:t>
      </w:r>
      <w:r w:rsidR="00D55472">
        <w:rPr>
          <w:rFonts w:ascii="Times New Roman" w:hAnsi="Times New Roman" w:cs="Times New Roman"/>
          <w:sz w:val="24"/>
          <w:szCs w:val="24"/>
          <w:lang w:val="en-US"/>
        </w:rPr>
        <w:t>’s</w:t>
      </w:r>
      <w:r w:rsidR="00D55472" w:rsidRPr="0063061C">
        <w:rPr>
          <w:rFonts w:ascii="Times New Roman" w:hAnsi="Times New Roman" w:cs="Times New Roman"/>
          <w:sz w:val="24"/>
          <w:szCs w:val="24"/>
          <w:lang w:val="en-US"/>
        </w:rPr>
        <w:t xml:space="preserve"> financial stability. </w:t>
      </w:r>
      <w:r>
        <w:rPr>
          <w:rFonts w:ascii="Times New Roman" w:hAnsi="Times New Roman" w:cs="Times New Roman"/>
          <w:sz w:val="24"/>
          <w:szCs w:val="24"/>
          <w:lang w:val="en-US"/>
        </w:rPr>
        <w:t>The m</w:t>
      </w:r>
      <w:r w:rsidR="00D55472" w:rsidRPr="0063061C">
        <w:rPr>
          <w:rFonts w:ascii="Times New Roman" w:hAnsi="Times New Roman" w:cs="Times New Roman"/>
          <w:sz w:val="24"/>
          <w:szCs w:val="24"/>
          <w:lang w:val="en-US"/>
        </w:rPr>
        <w:t>arket risk w</w:t>
      </w:r>
      <w:r w:rsidR="00D55472">
        <w:rPr>
          <w:rFonts w:ascii="Times New Roman" w:hAnsi="Times New Roman" w:cs="Times New Roman"/>
          <w:sz w:val="24"/>
          <w:szCs w:val="24"/>
          <w:lang w:val="en-US"/>
        </w:rPr>
        <w:t>as</w:t>
      </w:r>
      <w:r w:rsidR="00D55472" w:rsidRPr="0063061C">
        <w:rPr>
          <w:rFonts w:ascii="Times New Roman" w:hAnsi="Times New Roman" w:cs="Times New Roman"/>
          <w:sz w:val="24"/>
          <w:szCs w:val="24"/>
          <w:lang w:val="en-US"/>
        </w:rPr>
        <w:t xml:space="preserve"> characterized with the following figures, shown in the diagram:</w:t>
      </w:r>
    </w:p>
    <w:p w:rsidR="00D55472" w:rsidRPr="0063061C" w:rsidRDefault="00D55472" w:rsidP="00D55472">
      <w:pPr>
        <w:tabs>
          <w:tab w:val="left" w:pos="0"/>
          <w:tab w:val="num" w:pos="567"/>
        </w:tabs>
        <w:spacing w:after="120" w:line="240" w:lineRule="auto"/>
        <w:ind w:firstLine="567"/>
        <w:jc w:val="both"/>
        <w:rPr>
          <w:rFonts w:ascii="Times New Roman" w:hAnsi="Times New Roman" w:cs="Times New Roman"/>
          <w:sz w:val="24"/>
          <w:szCs w:val="24"/>
          <w:lang w:val="en-US"/>
        </w:rPr>
      </w:pPr>
    </w:p>
    <w:p w:rsidR="00D55472" w:rsidRPr="0063061C" w:rsidRDefault="00D55472" w:rsidP="00D55472">
      <w:pPr>
        <w:spacing w:before="100" w:after="120" w:line="240" w:lineRule="auto"/>
        <w:jc w:val="center"/>
        <w:rPr>
          <w:rFonts w:ascii="Times New Roman" w:hAnsi="Times New Roman" w:cs="Times New Roman"/>
          <w:b/>
          <w:sz w:val="24"/>
          <w:szCs w:val="24"/>
          <w:lang w:val="en-US"/>
        </w:rPr>
      </w:pPr>
      <w:r w:rsidRPr="0063061C">
        <w:rPr>
          <w:rFonts w:ascii="Times New Roman" w:hAnsi="Times New Roman" w:cs="Times New Roman"/>
          <w:b/>
          <w:sz w:val="24"/>
          <w:szCs w:val="24"/>
          <w:lang w:val="en-US"/>
        </w:rPr>
        <w:t xml:space="preserve">Market risk structure in % of </w:t>
      </w:r>
      <w:r>
        <w:rPr>
          <w:rFonts w:ascii="Times New Roman" w:hAnsi="Times New Roman" w:cs="Times New Roman"/>
          <w:b/>
          <w:sz w:val="24"/>
          <w:szCs w:val="24"/>
          <w:lang w:val="en-US"/>
        </w:rPr>
        <w:t xml:space="preserve">own </w:t>
      </w:r>
      <w:r w:rsidRPr="0063061C">
        <w:rPr>
          <w:rFonts w:ascii="Times New Roman" w:hAnsi="Times New Roman" w:cs="Times New Roman"/>
          <w:b/>
          <w:sz w:val="24"/>
          <w:szCs w:val="24"/>
          <w:lang w:val="en-US"/>
        </w:rPr>
        <w:t>capital</w:t>
      </w:r>
    </w:p>
    <w:p w:rsidR="00D55472" w:rsidRPr="0063061C" w:rsidRDefault="00D55472" w:rsidP="00D55472">
      <w:pPr>
        <w:spacing w:before="100" w:after="120" w:line="240" w:lineRule="auto"/>
        <w:jc w:val="center"/>
        <w:rPr>
          <w:rFonts w:ascii="Times New Roman" w:hAnsi="Times New Roman" w:cs="Times New Roman"/>
          <w:sz w:val="24"/>
          <w:szCs w:val="24"/>
          <w:lang w:val="en-US"/>
        </w:rPr>
      </w:pPr>
      <w:r w:rsidRPr="0063061C">
        <w:rPr>
          <w:rFonts w:ascii="Times New Roman" w:hAnsi="Times New Roman" w:cs="Times New Roman"/>
          <w:sz w:val="24"/>
          <w:szCs w:val="24"/>
          <w:lang w:val="en-US"/>
        </w:rPr>
        <w:t>(</w:t>
      </w:r>
      <w:proofErr w:type="gramStart"/>
      <w:r w:rsidRPr="0063061C">
        <w:rPr>
          <w:rFonts w:ascii="Times New Roman" w:hAnsi="Times New Roman" w:cs="Times New Roman"/>
          <w:sz w:val="24"/>
          <w:szCs w:val="24"/>
          <w:lang w:val="en-US"/>
        </w:rPr>
        <w:t>estimation</w:t>
      </w:r>
      <w:proofErr w:type="gramEnd"/>
      <w:r w:rsidRPr="0063061C">
        <w:rPr>
          <w:rFonts w:ascii="Times New Roman" w:hAnsi="Times New Roman" w:cs="Times New Roman"/>
          <w:sz w:val="24"/>
          <w:szCs w:val="24"/>
          <w:lang w:val="en-US"/>
        </w:rPr>
        <w:t xml:space="preserve"> based on Bank’s internal models)</w:t>
      </w:r>
    </w:p>
    <w:p w:rsidR="00D55472" w:rsidRPr="0063061C" w:rsidRDefault="00D55472" w:rsidP="00D55472">
      <w:pPr>
        <w:spacing w:after="120" w:line="240" w:lineRule="auto"/>
        <w:ind w:firstLine="567"/>
        <w:jc w:val="both"/>
        <w:rPr>
          <w:rFonts w:ascii="Times New Roman" w:hAnsi="Times New Roman" w:cs="Times New Roman"/>
          <w:noProof/>
          <w:sz w:val="24"/>
          <w:szCs w:val="24"/>
          <w:lang w:val="en-US" w:eastAsia="ru-RU"/>
        </w:rPr>
      </w:pPr>
    </w:p>
    <w:p w:rsidR="00D55472" w:rsidRPr="0063061C" w:rsidRDefault="00D55472" w:rsidP="00D55472">
      <w:pPr>
        <w:spacing w:before="100" w:after="120" w:line="240" w:lineRule="auto"/>
        <w:jc w:val="center"/>
        <w:rPr>
          <w:rFonts w:ascii="Times New Roman" w:eastAsia="Calibri" w:hAnsi="Times New Roman" w:cs="Times New Roman"/>
          <w:sz w:val="24"/>
          <w:szCs w:val="24"/>
          <w:lang w:val="en-US"/>
        </w:rPr>
      </w:pPr>
      <w:r w:rsidRPr="0063061C">
        <w:rPr>
          <w:rFonts w:ascii="Times New Roman" w:hAnsi="Times New Roman" w:cs="Times New Roman"/>
          <w:noProof/>
          <w:sz w:val="24"/>
          <w:szCs w:val="24"/>
          <w:lang w:eastAsia="ru-RU"/>
        </w:rPr>
        <w:drawing>
          <wp:inline distT="0" distB="0" distL="0" distR="0" wp14:anchorId="7F6E4B36" wp14:editId="454847FC">
            <wp:extent cx="4957807" cy="2286149"/>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4957807" cy="2286149"/>
                    </a:xfrm>
                    <a:prstGeom prst="rect">
                      <a:avLst/>
                    </a:prstGeom>
                    <a:noFill/>
                    <a:ln w="9525">
                      <a:noFill/>
                      <a:miter lim="800000"/>
                      <a:headEnd/>
                      <a:tailEnd/>
                    </a:ln>
                  </pic:spPr>
                </pic:pic>
              </a:graphicData>
            </a:graphic>
          </wp:inline>
        </w:drawing>
      </w:r>
    </w:p>
    <w:p w:rsidR="00D55472" w:rsidRPr="0063061C" w:rsidRDefault="00D55472" w:rsidP="00D55472">
      <w:pPr>
        <w:spacing w:after="120" w:line="240" w:lineRule="auto"/>
        <w:ind w:firstLine="567"/>
        <w:jc w:val="both"/>
        <w:rPr>
          <w:rFonts w:ascii="Times New Roman" w:eastAsia="+mn-ea" w:hAnsi="Times New Roman" w:cs="Times New Roman"/>
          <w:sz w:val="24"/>
          <w:szCs w:val="24"/>
          <w:lang w:val="en-US"/>
        </w:rPr>
      </w:pPr>
      <w:r w:rsidRPr="002757E1">
        <w:rPr>
          <w:rFonts w:ascii="Times New Roman" w:eastAsia="Calibri" w:hAnsi="Times New Roman" w:cs="Times New Roman"/>
          <w:sz w:val="24"/>
          <w:szCs w:val="24"/>
          <w:lang w:val="en-US"/>
        </w:rPr>
        <w:t xml:space="preserve">NCC’s total open position in </w:t>
      </w:r>
      <w:r w:rsidR="00F674A5">
        <w:rPr>
          <w:rFonts w:ascii="Times New Roman" w:eastAsia="Calibri" w:hAnsi="Times New Roman" w:cs="Times New Roman"/>
          <w:sz w:val="24"/>
          <w:szCs w:val="24"/>
          <w:lang w:val="en-US"/>
        </w:rPr>
        <w:t xml:space="preserve">the </w:t>
      </w:r>
      <w:r w:rsidRPr="002757E1">
        <w:rPr>
          <w:rFonts w:ascii="Times New Roman" w:eastAsia="Calibri" w:hAnsi="Times New Roman" w:cs="Times New Roman"/>
          <w:sz w:val="24"/>
          <w:szCs w:val="24"/>
          <w:lang w:val="en-US"/>
        </w:rPr>
        <w:t>foreign currency is maintained at a minimum level</w:t>
      </w:r>
      <w:r>
        <w:rPr>
          <w:rFonts w:ascii="Times New Roman" w:eastAsia="Calibri" w:hAnsi="Times New Roman" w:cs="Times New Roman"/>
          <w:sz w:val="24"/>
          <w:szCs w:val="24"/>
          <w:lang w:val="en-US"/>
        </w:rPr>
        <w:t xml:space="preserve"> in accordance with NCC’s internal policy to avoid FX risk in investment activities</w:t>
      </w:r>
      <w:r w:rsidRPr="00F80FD3">
        <w:rPr>
          <w:rFonts w:ascii="Times New Roman" w:eastAsia="Calibri" w:hAnsi="Times New Roman" w:cs="Times New Roman"/>
          <w:sz w:val="24"/>
          <w:szCs w:val="24"/>
          <w:lang w:val="en-US"/>
        </w:rPr>
        <w:t>. As of January 1, 2014</w:t>
      </w:r>
      <w:r w:rsidRPr="00953626">
        <w:rPr>
          <w:rFonts w:ascii="Times New Roman" w:eastAsia="Calibri" w:hAnsi="Times New Roman" w:cs="Times New Roman"/>
          <w:color w:val="FF0000"/>
          <w:sz w:val="24"/>
          <w:szCs w:val="24"/>
          <w:lang w:val="en-US"/>
        </w:rPr>
        <w:t xml:space="preserve"> </w:t>
      </w:r>
      <w:r w:rsidRPr="0063061C">
        <w:rPr>
          <w:rFonts w:ascii="Times New Roman" w:eastAsia="Calibri" w:hAnsi="Times New Roman" w:cs="Times New Roman"/>
          <w:sz w:val="24"/>
          <w:szCs w:val="24"/>
          <w:lang w:val="en-US"/>
        </w:rPr>
        <w:t xml:space="preserve">open </w:t>
      </w:r>
      <w:r>
        <w:rPr>
          <w:rFonts w:ascii="Times New Roman" w:eastAsia="Calibri" w:hAnsi="Times New Roman" w:cs="Times New Roman"/>
          <w:sz w:val="24"/>
          <w:szCs w:val="24"/>
          <w:lang w:val="en-US"/>
        </w:rPr>
        <w:t>FX</w:t>
      </w:r>
      <w:r w:rsidRPr="0063061C">
        <w:rPr>
          <w:rFonts w:ascii="Times New Roman" w:eastAsia="Calibri" w:hAnsi="Times New Roman" w:cs="Times New Roman"/>
          <w:sz w:val="24"/>
          <w:szCs w:val="24"/>
          <w:lang w:val="en-US"/>
        </w:rPr>
        <w:t xml:space="preserve"> position in the US dollars comprised 0.0993% of NCC’s capital, in </w:t>
      </w:r>
      <w:r>
        <w:rPr>
          <w:rFonts w:ascii="Times New Roman" w:eastAsia="Calibri" w:hAnsi="Times New Roman" w:cs="Times New Roman"/>
          <w:sz w:val="24"/>
          <w:szCs w:val="24"/>
          <w:lang w:val="en-US"/>
        </w:rPr>
        <w:t>e</w:t>
      </w:r>
      <w:r w:rsidRPr="0063061C">
        <w:rPr>
          <w:rFonts w:ascii="Times New Roman" w:eastAsia="Calibri" w:hAnsi="Times New Roman" w:cs="Times New Roman"/>
          <w:sz w:val="24"/>
          <w:szCs w:val="24"/>
          <w:lang w:val="en-US"/>
        </w:rPr>
        <w:t>uro</w:t>
      </w:r>
      <w:r>
        <w:rPr>
          <w:rFonts w:ascii="Times New Roman" w:eastAsia="Calibri" w:hAnsi="Times New Roman" w:cs="Times New Roman"/>
          <w:sz w:val="24"/>
          <w:szCs w:val="24"/>
          <w:lang w:val="en-US"/>
        </w:rPr>
        <w:t>s</w:t>
      </w:r>
      <w:r w:rsidRPr="0063061C">
        <w:rPr>
          <w:rFonts w:ascii="Times New Roman" w:eastAsia="Calibri" w:hAnsi="Times New Roman" w:cs="Times New Roman"/>
          <w:sz w:val="24"/>
          <w:szCs w:val="24"/>
          <w:lang w:val="en-US"/>
        </w:rPr>
        <w:t xml:space="preserve"> – 0.0064%.</w:t>
      </w:r>
    </w:p>
    <w:p w:rsidR="00D55472" w:rsidRPr="0063061C" w:rsidRDefault="00D55472" w:rsidP="00D55472">
      <w:pPr>
        <w:tabs>
          <w:tab w:val="left" w:pos="284"/>
          <w:tab w:val="num" w:pos="567"/>
        </w:tabs>
        <w:spacing w:after="120" w:line="240" w:lineRule="auto"/>
        <w:ind w:firstLine="567"/>
        <w:jc w:val="both"/>
        <w:rPr>
          <w:rFonts w:ascii="Times New Roman" w:eastAsia="Calibri" w:hAnsi="Times New Roman" w:cs="Times New Roman"/>
          <w:sz w:val="24"/>
          <w:szCs w:val="24"/>
          <w:lang w:val="en-US"/>
        </w:rPr>
      </w:pPr>
      <w:r w:rsidRPr="0063061C">
        <w:rPr>
          <w:rFonts w:ascii="Times New Roman" w:eastAsia="Calibri" w:hAnsi="Times New Roman" w:cs="Times New Roman"/>
          <w:sz w:val="24"/>
          <w:szCs w:val="24"/>
          <w:lang w:val="en-US"/>
        </w:rPr>
        <w:t xml:space="preserve">The price risk was estimated for </w:t>
      </w:r>
      <w:r>
        <w:rPr>
          <w:rFonts w:ascii="Times New Roman" w:eastAsia="Calibri" w:hAnsi="Times New Roman" w:cs="Times New Roman"/>
          <w:sz w:val="24"/>
          <w:szCs w:val="24"/>
          <w:lang w:val="en-US"/>
        </w:rPr>
        <w:t xml:space="preserve">individual </w:t>
      </w:r>
      <w:r w:rsidRPr="0063061C">
        <w:rPr>
          <w:rFonts w:ascii="Times New Roman" w:eastAsia="Calibri" w:hAnsi="Times New Roman" w:cs="Times New Roman"/>
          <w:sz w:val="24"/>
          <w:szCs w:val="24"/>
          <w:lang w:val="en-US"/>
        </w:rPr>
        <w:t xml:space="preserve">securities (government bonds, </w:t>
      </w:r>
      <w:r>
        <w:rPr>
          <w:rFonts w:ascii="Times New Roman" w:eastAsia="Calibri" w:hAnsi="Times New Roman" w:cs="Times New Roman"/>
          <w:sz w:val="24"/>
          <w:szCs w:val="24"/>
          <w:lang w:val="en-US"/>
        </w:rPr>
        <w:t>sub-federal</w:t>
      </w:r>
      <w:r w:rsidRPr="0063061C">
        <w:rPr>
          <w:rFonts w:ascii="Times New Roman" w:eastAsia="Calibri" w:hAnsi="Times New Roman" w:cs="Times New Roman"/>
          <w:sz w:val="24"/>
          <w:szCs w:val="24"/>
          <w:lang w:val="en-US"/>
        </w:rPr>
        <w:t xml:space="preserve"> bonds, corporate bonds) and </w:t>
      </w:r>
      <w:r>
        <w:rPr>
          <w:rFonts w:ascii="Times New Roman" w:eastAsia="Calibri" w:hAnsi="Times New Roman" w:cs="Times New Roman"/>
          <w:sz w:val="24"/>
          <w:szCs w:val="24"/>
          <w:lang w:val="en-US"/>
        </w:rPr>
        <w:t xml:space="preserve">for </w:t>
      </w:r>
      <w:r w:rsidRPr="0063061C">
        <w:rPr>
          <w:rFonts w:ascii="Times New Roman" w:eastAsia="Calibri" w:hAnsi="Times New Roman" w:cs="Times New Roman"/>
          <w:sz w:val="24"/>
          <w:szCs w:val="24"/>
          <w:lang w:val="en-US"/>
        </w:rPr>
        <w:t xml:space="preserve">the total portfolio </w:t>
      </w:r>
      <w:r>
        <w:rPr>
          <w:rFonts w:ascii="Times New Roman" w:eastAsia="Calibri" w:hAnsi="Times New Roman" w:cs="Times New Roman"/>
          <w:sz w:val="24"/>
          <w:szCs w:val="24"/>
          <w:lang w:val="en-US"/>
        </w:rPr>
        <w:t>using</w:t>
      </w:r>
      <w:r w:rsidRPr="0063061C">
        <w:rPr>
          <w:rFonts w:ascii="Times New Roman" w:eastAsia="Calibri" w:hAnsi="Times New Roman" w:cs="Times New Roman"/>
          <w:sz w:val="24"/>
          <w:szCs w:val="24"/>
          <w:lang w:val="en-US"/>
        </w:rPr>
        <w:t xml:space="preserve"> </w:t>
      </w:r>
      <w:r w:rsidR="00F674A5">
        <w:rPr>
          <w:rFonts w:ascii="Times New Roman" w:eastAsia="Calibri" w:hAnsi="Times New Roman" w:cs="Times New Roman"/>
          <w:sz w:val="24"/>
          <w:szCs w:val="24"/>
          <w:lang w:val="en-US"/>
        </w:rPr>
        <w:t xml:space="preserve">a </w:t>
      </w:r>
      <w:r>
        <w:rPr>
          <w:rFonts w:ascii="Times New Roman" w:eastAsia="Calibri" w:hAnsi="Times New Roman" w:cs="Times New Roman"/>
          <w:sz w:val="24"/>
          <w:szCs w:val="24"/>
          <w:lang w:val="en-US"/>
        </w:rPr>
        <w:t>variance-covariance</w:t>
      </w:r>
      <w:r w:rsidRPr="0063061C">
        <w:rPr>
          <w:rFonts w:ascii="Times New Roman" w:eastAsia="Calibri" w:hAnsi="Times New Roman" w:cs="Times New Roman"/>
          <w:sz w:val="24"/>
          <w:szCs w:val="24"/>
          <w:lang w:val="en-US"/>
        </w:rPr>
        <w:t xml:space="preserve"> method (parameter method).</w:t>
      </w:r>
    </w:p>
    <w:p w:rsidR="00D55472" w:rsidRPr="0063061C" w:rsidRDefault="00D55472" w:rsidP="00D55472">
      <w:pPr>
        <w:tabs>
          <w:tab w:val="left" w:pos="284"/>
          <w:tab w:val="num" w:pos="567"/>
        </w:tabs>
        <w:spacing w:after="120" w:line="240" w:lineRule="auto"/>
        <w:ind w:firstLine="567"/>
        <w:jc w:val="both"/>
        <w:rPr>
          <w:rFonts w:ascii="Times New Roman" w:eastAsia="Calibri" w:hAnsi="Times New Roman" w:cs="Times New Roman"/>
          <w:sz w:val="24"/>
          <w:szCs w:val="24"/>
          <w:lang w:val="en-US"/>
        </w:rPr>
      </w:pPr>
      <w:r w:rsidRPr="0063061C">
        <w:rPr>
          <w:rFonts w:ascii="Times New Roman" w:eastAsia="Calibri" w:hAnsi="Times New Roman" w:cs="Times New Roman"/>
          <w:sz w:val="24"/>
          <w:szCs w:val="24"/>
          <w:lang w:val="en-US"/>
        </w:rPr>
        <w:t xml:space="preserve">The sensitivity of the securities portfolio </w:t>
      </w:r>
      <w:r w:rsidRPr="007E417F">
        <w:rPr>
          <w:rFonts w:ascii="Times New Roman" w:eastAsia="Calibri" w:hAnsi="Times New Roman" w:cs="Times New Roman"/>
          <w:sz w:val="24"/>
          <w:szCs w:val="24"/>
          <w:lang w:val="en-US"/>
        </w:rPr>
        <w:t>present value</w:t>
      </w:r>
      <w:r w:rsidRPr="0063061C">
        <w:rPr>
          <w:rFonts w:ascii="Times New Roman" w:eastAsia="Calibri" w:hAnsi="Times New Roman" w:cs="Times New Roman"/>
          <w:sz w:val="24"/>
          <w:szCs w:val="24"/>
          <w:lang w:val="en-US"/>
        </w:rPr>
        <w:t xml:space="preserve"> to interest rate</w:t>
      </w:r>
      <w:r>
        <w:rPr>
          <w:rFonts w:ascii="Times New Roman" w:eastAsia="Calibri" w:hAnsi="Times New Roman" w:cs="Times New Roman"/>
          <w:sz w:val="24"/>
          <w:szCs w:val="24"/>
          <w:lang w:val="en-US"/>
        </w:rPr>
        <w:t>s</w:t>
      </w:r>
      <w:r w:rsidRPr="0063061C">
        <w:rPr>
          <w:rFonts w:ascii="Times New Roman" w:eastAsia="Calibri" w:hAnsi="Times New Roman" w:cs="Times New Roman"/>
          <w:sz w:val="24"/>
          <w:szCs w:val="24"/>
          <w:lang w:val="en-US"/>
        </w:rPr>
        <w:t xml:space="preserve"> (PV01), the Sharpe ratio and the securities portfolio duration were also estimated </w:t>
      </w:r>
      <w:r>
        <w:rPr>
          <w:rFonts w:ascii="Times New Roman" w:eastAsia="Calibri" w:hAnsi="Times New Roman" w:cs="Times New Roman"/>
          <w:sz w:val="24"/>
          <w:szCs w:val="24"/>
          <w:lang w:val="en-US"/>
        </w:rPr>
        <w:t>and analyzed</w:t>
      </w:r>
      <w:r w:rsidRPr="0063061C">
        <w:rPr>
          <w:rFonts w:ascii="Times New Roman" w:eastAsia="Calibri" w:hAnsi="Times New Roman" w:cs="Times New Roman"/>
          <w:sz w:val="24"/>
          <w:szCs w:val="24"/>
          <w:lang w:val="en-US"/>
        </w:rPr>
        <w:t>.</w:t>
      </w:r>
    </w:p>
    <w:p w:rsidR="00D55472" w:rsidRPr="0063061C" w:rsidRDefault="00D55472" w:rsidP="00D55472">
      <w:pPr>
        <w:tabs>
          <w:tab w:val="left" w:pos="284"/>
          <w:tab w:val="num" w:pos="567"/>
        </w:tabs>
        <w:spacing w:after="120" w:line="240" w:lineRule="auto"/>
        <w:ind w:firstLine="567"/>
        <w:jc w:val="both"/>
        <w:rPr>
          <w:rFonts w:ascii="Times New Roman" w:eastAsia="+mn-ea" w:hAnsi="Times New Roman" w:cs="Times New Roman"/>
          <w:sz w:val="24"/>
          <w:szCs w:val="24"/>
          <w:lang w:val="en-US"/>
        </w:rPr>
      </w:pPr>
      <w:r w:rsidRPr="0063061C">
        <w:rPr>
          <w:rFonts w:ascii="Times New Roman" w:eastAsia="Calibri" w:hAnsi="Times New Roman" w:cs="Times New Roman"/>
          <w:sz w:val="24"/>
          <w:szCs w:val="24"/>
          <w:lang w:val="en-US"/>
        </w:rPr>
        <w:t xml:space="preserve">During 2013, the NCC's securities portfolio remained highly liquid, profitable and </w:t>
      </w:r>
      <w:r>
        <w:rPr>
          <w:rFonts w:ascii="Times New Roman" w:eastAsia="Calibri" w:hAnsi="Times New Roman" w:cs="Times New Roman"/>
          <w:sz w:val="24"/>
          <w:szCs w:val="24"/>
          <w:lang w:val="en-US"/>
        </w:rPr>
        <w:t>stable</w:t>
      </w:r>
      <w:r w:rsidRPr="0063061C">
        <w:rPr>
          <w:rFonts w:ascii="Times New Roman" w:eastAsia="Calibri" w:hAnsi="Times New Roman" w:cs="Times New Roman"/>
          <w:sz w:val="24"/>
          <w:szCs w:val="24"/>
          <w:lang w:val="en-US"/>
        </w:rPr>
        <w:t xml:space="preserve"> in </w:t>
      </w:r>
      <w:r w:rsidR="00F674A5">
        <w:rPr>
          <w:rFonts w:ascii="Times New Roman" w:eastAsia="Calibri" w:hAnsi="Times New Roman" w:cs="Times New Roman"/>
          <w:sz w:val="24"/>
          <w:szCs w:val="24"/>
          <w:lang w:val="en-US"/>
        </w:rPr>
        <w:t xml:space="preserve">the </w:t>
      </w:r>
      <w:r w:rsidRPr="0063061C">
        <w:rPr>
          <w:rFonts w:ascii="Times New Roman" w:eastAsia="Calibri" w:hAnsi="Times New Roman" w:cs="Times New Roman"/>
          <w:sz w:val="24"/>
          <w:szCs w:val="24"/>
          <w:lang w:val="en-US"/>
        </w:rPr>
        <w:t xml:space="preserve">current market conditions, and was consistent with the requirements set by the </w:t>
      </w:r>
      <w:r>
        <w:rPr>
          <w:rFonts w:ascii="Times New Roman" w:eastAsia="Calibri" w:hAnsi="Times New Roman" w:cs="Times New Roman"/>
          <w:sz w:val="24"/>
          <w:szCs w:val="24"/>
          <w:lang w:val="en-US"/>
        </w:rPr>
        <w:t xml:space="preserve">NCC’s </w:t>
      </w:r>
      <w:r w:rsidRPr="0063061C">
        <w:rPr>
          <w:rFonts w:ascii="Times New Roman" w:eastAsia="Calibri" w:hAnsi="Times New Roman" w:cs="Times New Roman"/>
          <w:sz w:val="24"/>
          <w:szCs w:val="24"/>
          <w:lang w:val="en-US"/>
        </w:rPr>
        <w:t>criteria of formation of investment assets and investment declaration.</w:t>
      </w:r>
    </w:p>
    <w:p w:rsidR="00D55472" w:rsidRDefault="00F674A5" w:rsidP="00D55472">
      <w:pPr>
        <w:tabs>
          <w:tab w:val="left" w:pos="284"/>
          <w:tab w:val="num" w:pos="567"/>
        </w:tabs>
        <w:spacing w:after="120" w:line="240" w:lineRule="auto"/>
        <w:ind w:firstLine="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i</w:t>
      </w:r>
      <w:r w:rsidR="00D55472" w:rsidRPr="00A65464">
        <w:rPr>
          <w:rFonts w:ascii="Times New Roman" w:eastAsia="Calibri" w:hAnsi="Times New Roman" w:cs="Times New Roman"/>
          <w:sz w:val="24"/>
          <w:szCs w:val="24"/>
          <w:lang w:val="en-US"/>
        </w:rPr>
        <w:t xml:space="preserve">nterest rate </w:t>
      </w:r>
      <w:r w:rsidR="00D55472">
        <w:rPr>
          <w:rFonts w:ascii="Times New Roman" w:eastAsia="Calibri" w:hAnsi="Times New Roman" w:cs="Times New Roman"/>
          <w:sz w:val="24"/>
          <w:szCs w:val="24"/>
          <w:lang w:val="en-US"/>
        </w:rPr>
        <w:t xml:space="preserve">risk </w:t>
      </w:r>
      <w:r w:rsidR="00D55472" w:rsidRPr="00A65464">
        <w:rPr>
          <w:rFonts w:ascii="Times New Roman" w:eastAsia="Calibri" w:hAnsi="Times New Roman" w:cs="Times New Roman"/>
          <w:sz w:val="24"/>
          <w:szCs w:val="24"/>
          <w:lang w:val="en-US"/>
        </w:rPr>
        <w:t>m</w:t>
      </w:r>
      <w:r w:rsidR="00D55472">
        <w:rPr>
          <w:rFonts w:ascii="Times New Roman" w:eastAsia="Calibri" w:hAnsi="Times New Roman" w:cs="Times New Roman"/>
          <w:sz w:val="24"/>
          <w:szCs w:val="24"/>
          <w:lang w:val="en-US"/>
        </w:rPr>
        <w:t xml:space="preserve">onitoring </w:t>
      </w:r>
      <w:r w:rsidR="00D55472" w:rsidRPr="00A65464">
        <w:rPr>
          <w:rFonts w:ascii="Times New Roman" w:eastAsia="Calibri" w:hAnsi="Times New Roman" w:cs="Times New Roman"/>
          <w:sz w:val="24"/>
          <w:szCs w:val="24"/>
          <w:lang w:val="en-US"/>
        </w:rPr>
        <w:t xml:space="preserve">includes market interest rates monitoring and evaluation of assets and liabilities sensitivity to interest rates. </w:t>
      </w:r>
      <w:r>
        <w:rPr>
          <w:rFonts w:ascii="Times New Roman" w:eastAsia="Calibri" w:hAnsi="Times New Roman" w:cs="Times New Roman"/>
          <w:sz w:val="24"/>
          <w:szCs w:val="24"/>
          <w:lang w:val="en-US"/>
        </w:rPr>
        <w:t>The i</w:t>
      </w:r>
      <w:r w:rsidR="00D55472" w:rsidRPr="00A65464">
        <w:rPr>
          <w:rFonts w:ascii="Times New Roman" w:eastAsia="Calibri" w:hAnsi="Times New Roman" w:cs="Times New Roman"/>
          <w:sz w:val="24"/>
          <w:szCs w:val="24"/>
          <w:lang w:val="en-US"/>
        </w:rPr>
        <w:t>nterest rate risk is assessed through</w:t>
      </w:r>
      <w:r>
        <w:rPr>
          <w:rFonts w:ascii="Times New Roman" w:eastAsia="Calibri" w:hAnsi="Times New Roman" w:cs="Times New Roman"/>
          <w:sz w:val="24"/>
          <w:szCs w:val="24"/>
          <w:lang w:val="en-US"/>
        </w:rPr>
        <w:t xml:space="preserve"> the</w:t>
      </w:r>
      <w:r w:rsidR="00D55472" w:rsidRPr="00A65464">
        <w:rPr>
          <w:rFonts w:ascii="Times New Roman" w:eastAsia="Calibri" w:hAnsi="Times New Roman" w:cs="Times New Roman"/>
          <w:sz w:val="24"/>
          <w:szCs w:val="24"/>
          <w:lang w:val="en-US"/>
        </w:rPr>
        <w:t xml:space="preserve"> gap analysis and duration</w:t>
      </w:r>
      <w:r w:rsidR="00D55472">
        <w:rPr>
          <w:rFonts w:ascii="Times New Roman" w:eastAsia="Calibri" w:hAnsi="Times New Roman" w:cs="Times New Roman"/>
          <w:sz w:val="24"/>
          <w:szCs w:val="24"/>
          <w:lang w:val="en-US"/>
        </w:rPr>
        <w:t xml:space="preserve"> while</w:t>
      </w:r>
      <w:r w:rsidR="00D55472" w:rsidRPr="00A65464">
        <w:rPr>
          <w:rFonts w:ascii="Times New Roman" w:eastAsia="Calibri" w:hAnsi="Times New Roman" w:cs="Times New Roman"/>
          <w:sz w:val="24"/>
          <w:szCs w:val="24"/>
          <w:lang w:val="en-US"/>
        </w:rPr>
        <w:t xml:space="preserve"> </w:t>
      </w:r>
      <w:r w:rsidR="00D55472">
        <w:rPr>
          <w:rFonts w:ascii="Times New Roman" w:eastAsia="Calibri" w:hAnsi="Times New Roman" w:cs="Times New Roman"/>
          <w:sz w:val="24"/>
          <w:szCs w:val="24"/>
          <w:lang w:val="en-US"/>
        </w:rPr>
        <w:t>i</w:t>
      </w:r>
      <w:r w:rsidR="00D55472" w:rsidRPr="00953626">
        <w:rPr>
          <w:rFonts w:ascii="Times New Roman" w:eastAsia="Calibri" w:hAnsi="Times New Roman" w:cs="Times New Roman"/>
          <w:sz w:val="24"/>
          <w:szCs w:val="24"/>
          <w:lang w:val="en-US"/>
        </w:rPr>
        <w:t xml:space="preserve">nterest rate volatilities applied to these gaps are estimated separately for each time band </w:t>
      </w:r>
      <w:r w:rsidR="00D55472" w:rsidRPr="00A65464">
        <w:rPr>
          <w:rFonts w:ascii="Times New Roman" w:eastAsia="Calibri" w:hAnsi="Times New Roman" w:cs="Times New Roman"/>
          <w:sz w:val="24"/>
          <w:szCs w:val="24"/>
          <w:lang w:val="en-US"/>
        </w:rPr>
        <w:t xml:space="preserve">using </w:t>
      </w:r>
      <w:r>
        <w:rPr>
          <w:rFonts w:ascii="Times New Roman" w:eastAsia="Calibri" w:hAnsi="Times New Roman" w:cs="Times New Roman"/>
          <w:sz w:val="24"/>
          <w:szCs w:val="24"/>
          <w:lang w:val="en-US"/>
        </w:rPr>
        <w:t xml:space="preserve">the </w:t>
      </w:r>
      <w:r w:rsidR="00D55472" w:rsidRPr="00A65464">
        <w:rPr>
          <w:rFonts w:ascii="Times New Roman" w:eastAsia="Calibri" w:hAnsi="Times New Roman" w:cs="Times New Roman"/>
          <w:sz w:val="24"/>
          <w:szCs w:val="24"/>
          <w:lang w:val="en-US"/>
        </w:rPr>
        <w:t xml:space="preserve">historic data of </w:t>
      </w:r>
      <w:proofErr w:type="spellStart"/>
      <w:r w:rsidR="00D55472" w:rsidRPr="00A65464">
        <w:rPr>
          <w:rFonts w:ascii="Times New Roman" w:eastAsia="Calibri" w:hAnsi="Times New Roman" w:cs="Times New Roman"/>
          <w:sz w:val="24"/>
          <w:szCs w:val="24"/>
          <w:lang w:val="en-US"/>
        </w:rPr>
        <w:t>Mosprime</w:t>
      </w:r>
      <w:proofErr w:type="spellEnd"/>
      <w:r w:rsidR="00D55472" w:rsidRPr="00A65464">
        <w:rPr>
          <w:rFonts w:ascii="Times New Roman" w:eastAsia="Calibri" w:hAnsi="Times New Roman" w:cs="Times New Roman"/>
          <w:sz w:val="24"/>
          <w:szCs w:val="24"/>
          <w:lang w:val="en-US"/>
        </w:rPr>
        <w:t>, LIBOR and swap rates.</w:t>
      </w:r>
      <w:r w:rsidR="00D55472" w:rsidRPr="0063061C">
        <w:rPr>
          <w:rFonts w:ascii="Times New Roman" w:eastAsia="Calibri" w:hAnsi="Times New Roman" w:cs="Times New Roman"/>
          <w:sz w:val="24"/>
          <w:szCs w:val="24"/>
          <w:lang w:val="en-US"/>
        </w:rPr>
        <w:t xml:space="preserve"> </w:t>
      </w:r>
    </w:p>
    <w:p w:rsidR="00D55472" w:rsidRPr="0063061C" w:rsidRDefault="00D55472" w:rsidP="00D55472">
      <w:pPr>
        <w:tabs>
          <w:tab w:val="left" w:pos="284"/>
          <w:tab w:val="num" w:pos="567"/>
        </w:tabs>
        <w:spacing w:after="120" w:line="240" w:lineRule="auto"/>
        <w:ind w:firstLine="567"/>
        <w:jc w:val="both"/>
        <w:rPr>
          <w:rFonts w:ascii="Times New Roman" w:eastAsia="Calibri" w:hAnsi="Times New Roman" w:cs="Times New Roman"/>
          <w:sz w:val="24"/>
          <w:szCs w:val="24"/>
          <w:lang w:val="en-US"/>
        </w:rPr>
      </w:pPr>
      <w:r w:rsidRPr="0063061C">
        <w:rPr>
          <w:rFonts w:ascii="Times New Roman" w:eastAsia="Calibri" w:hAnsi="Times New Roman" w:cs="Times New Roman"/>
          <w:sz w:val="24"/>
          <w:szCs w:val="24"/>
          <w:lang w:val="en-US"/>
        </w:rPr>
        <w:t xml:space="preserve">The </w:t>
      </w:r>
      <w:r>
        <w:rPr>
          <w:rFonts w:ascii="Times New Roman" w:eastAsia="Calibri" w:hAnsi="Times New Roman" w:cs="Times New Roman"/>
          <w:sz w:val="24"/>
          <w:szCs w:val="24"/>
          <w:lang w:val="en-US"/>
        </w:rPr>
        <w:t xml:space="preserve">main contributors </w:t>
      </w:r>
      <w:r w:rsidR="00F674A5">
        <w:rPr>
          <w:rFonts w:ascii="Times New Roman" w:eastAsia="Calibri" w:hAnsi="Times New Roman" w:cs="Times New Roman"/>
          <w:sz w:val="24"/>
          <w:szCs w:val="24"/>
          <w:lang w:val="en-US"/>
        </w:rPr>
        <w:t>to the</w:t>
      </w:r>
      <w:r>
        <w:rPr>
          <w:rFonts w:ascii="Times New Roman" w:eastAsia="Calibri" w:hAnsi="Times New Roman" w:cs="Times New Roman"/>
          <w:sz w:val="24"/>
          <w:szCs w:val="24"/>
          <w:lang w:val="en-US"/>
        </w:rPr>
        <w:t xml:space="preserve"> interest rate risk</w:t>
      </w:r>
      <w:r w:rsidRPr="0063061C">
        <w:rPr>
          <w:rFonts w:ascii="Times New Roman" w:eastAsia="Calibri" w:hAnsi="Times New Roman" w:cs="Times New Roman"/>
          <w:sz w:val="24"/>
          <w:szCs w:val="24"/>
          <w:lang w:val="en-US"/>
        </w:rPr>
        <w:t xml:space="preserve"> are Bank’s interest rate exposures (</w:t>
      </w:r>
      <w:r>
        <w:rPr>
          <w:rFonts w:ascii="Times New Roman" w:eastAsia="Calibri" w:hAnsi="Times New Roman" w:cs="Times New Roman"/>
          <w:sz w:val="24"/>
          <w:szCs w:val="24"/>
          <w:lang w:val="en-US"/>
        </w:rPr>
        <w:t xml:space="preserve">difference </w:t>
      </w:r>
      <w:r w:rsidRPr="0063061C">
        <w:rPr>
          <w:rFonts w:ascii="Times New Roman" w:eastAsia="Calibri" w:hAnsi="Times New Roman" w:cs="Times New Roman"/>
          <w:sz w:val="24"/>
          <w:szCs w:val="24"/>
          <w:lang w:val="en-US"/>
        </w:rPr>
        <w:t xml:space="preserve">between assets and liabilities, </w:t>
      </w:r>
      <w:r>
        <w:rPr>
          <w:rFonts w:ascii="Times New Roman" w:eastAsia="Calibri" w:hAnsi="Times New Roman" w:cs="Times New Roman"/>
          <w:sz w:val="24"/>
          <w:szCs w:val="24"/>
          <w:lang w:val="en-US"/>
        </w:rPr>
        <w:t xml:space="preserve">which are </w:t>
      </w:r>
      <w:r w:rsidRPr="0063061C">
        <w:rPr>
          <w:rFonts w:ascii="Times New Roman" w:eastAsia="Calibri" w:hAnsi="Times New Roman" w:cs="Times New Roman"/>
          <w:sz w:val="24"/>
          <w:szCs w:val="24"/>
          <w:lang w:val="en-US"/>
        </w:rPr>
        <w:t xml:space="preserve">sensitive to interest rates) with </w:t>
      </w:r>
      <w:r>
        <w:rPr>
          <w:rFonts w:ascii="Times New Roman" w:eastAsia="Calibri" w:hAnsi="Times New Roman" w:cs="Times New Roman"/>
          <w:sz w:val="24"/>
          <w:szCs w:val="24"/>
          <w:lang w:val="en-US"/>
        </w:rPr>
        <w:t xml:space="preserve">maturities </w:t>
      </w:r>
      <w:r w:rsidRPr="0063061C">
        <w:rPr>
          <w:rFonts w:ascii="Times New Roman" w:eastAsia="Calibri" w:hAnsi="Times New Roman" w:cs="Times New Roman"/>
          <w:sz w:val="24"/>
          <w:szCs w:val="24"/>
          <w:lang w:val="en-US"/>
        </w:rPr>
        <w:t>more than 1 day. Instruments with a maturity ‘on demand and 1 day" (balances on the correspondent accounts, deposits “overnight", issue</w:t>
      </w:r>
      <w:r>
        <w:rPr>
          <w:rFonts w:ascii="Times New Roman" w:eastAsia="Calibri" w:hAnsi="Times New Roman" w:cs="Times New Roman"/>
          <w:sz w:val="24"/>
          <w:szCs w:val="24"/>
          <w:lang w:val="en-US"/>
        </w:rPr>
        <w:t>s</w:t>
      </w:r>
      <w:r w:rsidRPr="0063061C">
        <w:rPr>
          <w:rFonts w:ascii="Times New Roman" w:eastAsia="Calibri" w:hAnsi="Times New Roman" w:cs="Times New Roman"/>
          <w:sz w:val="24"/>
          <w:szCs w:val="24"/>
          <w:lang w:val="en-US"/>
        </w:rPr>
        <w:t xml:space="preserve"> of bonds, reaching the maturity date, swap</w:t>
      </w:r>
      <w:r>
        <w:rPr>
          <w:rFonts w:ascii="Times New Roman" w:eastAsia="Calibri" w:hAnsi="Times New Roman" w:cs="Times New Roman"/>
          <w:sz w:val="24"/>
          <w:szCs w:val="24"/>
          <w:lang w:val="en-US"/>
        </w:rPr>
        <w:t>s</w:t>
      </w:r>
      <w:r w:rsidRPr="0063061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despite</w:t>
      </w:r>
      <w:r w:rsidRPr="0063061C">
        <w:rPr>
          <w:rFonts w:ascii="Times New Roman" w:eastAsia="Calibri" w:hAnsi="Times New Roman" w:cs="Times New Roman"/>
          <w:sz w:val="24"/>
          <w:szCs w:val="24"/>
          <w:lang w:val="en-US"/>
        </w:rPr>
        <w:t xml:space="preserve"> their significant amount</w:t>
      </w:r>
      <w:r>
        <w:rPr>
          <w:rFonts w:ascii="Times New Roman" w:eastAsia="Calibri" w:hAnsi="Times New Roman" w:cs="Times New Roman"/>
          <w:sz w:val="24"/>
          <w:szCs w:val="24"/>
          <w:lang w:val="en-US"/>
        </w:rPr>
        <w:t>, make a small</w:t>
      </w:r>
      <w:r w:rsidRPr="0063061C">
        <w:rPr>
          <w:rFonts w:ascii="Times New Roman" w:eastAsia="Calibri" w:hAnsi="Times New Roman" w:cs="Times New Roman"/>
          <w:sz w:val="24"/>
          <w:szCs w:val="24"/>
          <w:lang w:val="en-US"/>
        </w:rPr>
        <w:t xml:space="preserve"> contribut</w:t>
      </w:r>
      <w:r>
        <w:rPr>
          <w:rFonts w:ascii="Times New Roman" w:eastAsia="Calibri" w:hAnsi="Times New Roman" w:cs="Times New Roman"/>
          <w:sz w:val="24"/>
          <w:szCs w:val="24"/>
          <w:lang w:val="en-US"/>
        </w:rPr>
        <w:t>ion</w:t>
      </w:r>
      <w:r w:rsidRPr="0063061C">
        <w:rPr>
          <w:rFonts w:ascii="Times New Roman" w:eastAsia="Calibri" w:hAnsi="Times New Roman" w:cs="Times New Roman"/>
          <w:sz w:val="24"/>
          <w:szCs w:val="24"/>
          <w:lang w:val="en-US"/>
        </w:rPr>
        <w:t xml:space="preserve"> to the interest rate risk because of </w:t>
      </w:r>
      <w:r>
        <w:rPr>
          <w:rFonts w:ascii="Times New Roman" w:eastAsia="Calibri" w:hAnsi="Times New Roman" w:cs="Times New Roman"/>
          <w:sz w:val="24"/>
          <w:szCs w:val="24"/>
          <w:lang w:val="en-US"/>
        </w:rPr>
        <w:t xml:space="preserve">their </w:t>
      </w:r>
      <w:r w:rsidRPr="0063061C">
        <w:rPr>
          <w:rFonts w:ascii="Times New Roman" w:eastAsia="Calibri" w:hAnsi="Times New Roman" w:cs="Times New Roman"/>
          <w:sz w:val="24"/>
          <w:szCs w:val="24"/>
          <w:lang w:val="en-US"/>
        </w:rPr>
        <w:t>low duration.</w:t>
      </w:r>
    </w:p>
    <w:p w:rsidR="00D55472" w:rsidRPr="0063061C" w:rsidRDefault="00D55472" w:rsidP="00D55472">
      <w:pPr>
        <w:tabs>
          <w:tab w:val="left" w:pos="284"/>
          <w:tab w:val="num" w:pos="567"/>
        </w:tabs>
        <w:spacing w:after="120" w:line="240" w:lineRule="auto"/>
        <w:ind w:firstLine="567"/>
        <w:jc w:val="both"/>
        <w:rPr>
          <w:rFonts w:ascii="Times New Roman" w:eastAsia="+mn-ea" w:hAnsi="Times New Roman" w:cs="Times New Roman"/>
          <w:sz w:val="24"/>
          <w:szCs w:val="24"/>
          <w:lang w:val="en-US"/>
        </w:rPr>
      </w:pPr>
    </w:p>
    <w:p w:rsidR="00D55472" w:rsidRPr="0063061C" w:rsidRDefault="00D55472" w:rsidP="00D55472">
      <w:pPr>
        <w:spacing w:before="100" w:after="120" w:line="240" w:lineRule="auto"/>
        <w:jc w:val="center"/>
        <w:rPr>
          <w:rFonts w:ascii="Times New Roman" w:hAnsi="Times New Roman" w:cs="Times New Roman"/>
          <w:b/>
          <w:sz w:val="24"/>
          <w:szCs w:val="24"/>
          <w:lang w:val="en-US"/>
        </w:rPr>
      </w:pPr>
      <w:r w:rsidRPr="0063061C">
        <w:rPr>
          <w:rFonts w:ascii="Times New Roman" w:hAnsi="Times New Roman" w:cs="Times New Roman"/>
          <w:b/>
          <w:sz w:val="24"/>
          <w:szCs w:val="24"/>
          <w:lang w:val="en-US"/>
        </w:rPr>
        <w:t xml:space="preserve">Stress </w:t>
      </w:r>
      <w:r>
        <w:rPr>
          <w:rFonts w:ascii="Times New Roman" w:hAnsi="Times New Roman" w:cs="Times New Roman"/>
          <w:b/>
          <w:sz w:val="24"/>
          <w:szCs w:val="24"/>
          <w:lang w:val="en-US"/>
        </w:rPr>
        <w:t>T</w:t>
      </w:r>
      <w:r w:rsidRPr="0063061C">
        <w:rPr>
          <w:rFonts w:ascii="Times New Roman" w:hAnsi="Times New Roman" w:cs="Times New Roman"/>
          <w:b/>
          <w:sz w:val="24"/>
          <w:szCs w:val="24"/>
          <w:lang w:val="en-US"/>
        </w:rPr>
        <w:t>esting</w:t>
      </w:r>
    </w:p>
    <w:p w:rsidR="00D55472" w:rsidRPr="0063061C" w:rsidRDefault="00D55472" w:rsidP="00D55472">
      <w:pPr>
        <w:spacing w:after="12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63061C">
        <w:rPr>
          <w:rFonts w:ascii="Times New Roman" w:hAnsi="Times New Roman" w:cs="Times New Roman"/>
          <w:sz w:val="24"/>
          <w:szCs w:val="24"/>
          <w:lang w:val="en-US"/>
        </w:rPr>
        <w:t>n 2013</w:t>
      </w:r>
      <w:r w:rsidR="00206F12">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s</w:t>
      </w:r>
      <w:r w:rsidRPr="0063061C">
        <w:rPr>
          <w:rFonts w:ascii="Times New Roman" w:hAnsi="Times New Roman" w:cs="Times New Roman"/>
          <w:sz w:val="24"/>
          <w:szCs w:val="24"/>
          <w:lang w:val="en-US"/>
        </w:rPr>
        <w:t xml:space="preserve">tress testing was an </w:t>
      </w:r>
      <w:r>
        <w:rPr>
          <w:rFonts w:ascii="Times New Roman" w:hAnsi="Times New Roman" w:cs="Times New Roman"/>
          <w:sz w:val="24"/>
          <w:szCs w:val="24"/>
          <w:lang w:val="en-US"/>
        </w:rPr>
        <w:t>integral</w:t>
      </w:r>
      <w:r w:rsidRPr="0063061C">
        <w:rPr>
          <w:rFonts w:ascii="Times New Roman" w:hAnsi="Times New Roman" w:cs="Times New Roman"/>
          <w:sz w:val="24"/>
          <w:szCs w:val="24"/>
          <w:lang w:val="en-US"/>
        </w:rPr>
        <w:t xml:space="preserve"> part of </w:t>
      </w:r>
      <w:r w:rsidR="00E20DEA">
        <w:rPr>
          <w:rFonts w:ascii="Times New Roman" w:hAnsi="Times New Roman" w:cs="Times New Roman"/>
          <w:sz w:val="24"/>
          <w:szCs w:val="24"/>
          <w:lang w:val="en-US"/>
        </w:rPr>
        <w:t>t</w:t>
      </w:r>
      <w:r w:rsidR="00970843">
        <w:rPr>
          <w:rFonts w:ascii="Times New Roman" w:hAnsi="Times New Roman" w:cs="Times New Roman"/>
          <w:sz w:val="24"/>
          <w:szCs w:val="24"/>
          <w:lang w:val="en-US"/>
        </w:rPr>
        <w:t xml:space="preserve">he </w:t>
      </w:r>
      <w:r w:rsidRPr="0063061C">
        <w:rPr>
          <w:rFonts w:ascii="Times New Roman" w:hAnsi="Times New Roman" w:cs="Times New Roman"/>
          <w:sz w:val="24"/>
          <w:szCs w:val="24"/>
          <w:lang w:val="en-US"/>
        </w:rPr>
        <w:t>NCC’s risk</w:t>
      </w:r>
      <w:r>
        <w:rPr>
          <w:rFonts w:ascii="Times New Roman" w:hAnsi="Times New Roman" w:cs="Times New Roman"/>
          <w:sz w:val="24"/>
          <w:szCs w:val="24"/>
          <w:lang w:val="en-US"/>
        </w:rPr>
        <w:t xml:space="preserve"> </w:t>
      </w:r>
      <w:r w:rsidRPr="0063061C">
        <w:rPr>
          <w:rFonts w:ascii="Times New Roman" w:hAnsi="Times New Roman" w:cs="Times New Roman"/>
          <w:sz w:val="24"/>
          <w:szCs w:val="24"/>
          <w:lang w:val="en-US"/>
        </w:rPr>
        <w:t xml:space="preserve">management </w:t>
      </w:r>
      <w:r>
        <w:rPr>
          <w:rFonts w:ascii="Times New Roman" w:hAnsi="Times New Roman" w:cs="Times New Roman"/>
          <w:sz w:val="24"/>
          <w:szCs w:val="24"/>
          <w:lang w:val="en-US"/>
        </w:rPr>
        <w:t>procedures</w:t>
      </w:r>
      <w:r w:rsidRPr="0063061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was conducted </w:t>
      </w:r>
      <w:r w:rsidRPr="0063061C">
        <w:rPr>
          <w:rFonts w:ascii="Times New Roman" w:hAnsi="Times New Roman" w:cs="Times New Roman"/>
          <w:sz w:val="24"/>
          <w:szCs w:val="24"/>
          <w:lang w:val="en-US"/>
        </w:rPr>
        <w:t xml:space="preserve">to </w:t>
      </w:r>
      <w:r>
        <w:rPr>
          <w:rFonts w:ascii="Times New Roman" w:hAnsi="Times New Roman" w:cs="Times New Roman"/>
          <w:sz w:val="24"/>
          <w:szCs w:val="24"/>
          <w:lang w:val="en-US"/>
        </w:rPr>
        <w:t>assess</w:t>
      </w:r>
      <w:r w:rsidRPr="0063061C">
        <w:rPr>
          <w:rFonts w:ascii="Times New Roman" w:hAnsi="Times New Roman" w:cs="Times New Roman"/>
          <w:sz w:val="24"/>
          <w:szCs w:val="24"/>
          <w:lang w:val="en-US"/>
        </w:rPr>
        <w:t xml:space="preserve"> the Bank’s ability to</w:t>
      </w:r>
      <w:r>
        <w:rPr>
          <w:rFonts w:ascii="Times New Roman" w:hAnsi="Times New Roman" w:cs="Times New Roman"/>
          <w:sz w:val="24"/>
          <w:szCs w:val="24"/>
          <w:lang w:val="en-US"/>
        </w:rPr>
        <w:t xml:space="preserve"> withstand</w:t>
      </w:r>
      <w:r w:rsidRPr="0063061C">
        <w:rPr>
          <w:rFonts w:ascii="Times New Roman" w:hAnsi="Times New Roman" w:cs="Times New Roman"/>
          <w:sz w:val="24"/>
          <w:szCs w:val="24"/>
          <w:lang w:val="en-US"/>
        </w:rPr>
        <w:t xml:space="preserve"> extreme market </w:t>
      </w:r>
      <w:r>
        <w:rPr>
          <w:rFonts w:ascii="Times New Roman" w:hAnsi="Times New Roman" w:cs="Times New Roman"/>
          <w:sz w:val="24"/>
          <w:szCs w:val="24"/>
          <w:lang w:val="en-US"/>
        </w:rPr>
        <w:t>conditions</w:t>
      </w:r>
      <w:r w:rsidRPr="0063061C">
        <w:rPr>
          <w:rFonts w:ascii="Times New Roman" w:hAnsi="Times New Roman" w:cs="Times New Roman"/>
          <w:sz w:val="24"/>
          <w:szCs w:val="24"/>
          <w:lang w:val="en-US"/>
        </w:rPr>
        <w:t xml:space="preserve">. According to the NCC’s internal </w:t>
      </w:r>
      <w:r>
        <w:rPr>
          <w:rFonts w:ascii="Times New Roman" w:hAnsi="Times New Roman" w:cs="Times New Roman"/>
          <w:sz w:val="24"/>
          <w:szCs w:val="24"/>
          <w:lang w:val="en-US"/>
        </w:rPr>
        <w:t>policies</w:t>
      </w:r>
      <w:r w:rsidRPr="0063061C">
        <w:rPr>
          <w:rFonts w:ascii="Times New Roman" w:hAnsi="Times New Roman" w:cs="Times New Roman"/>
          <w:sz w:val="24"/>
          <w:szCs w:val="24"/>
          <w:lang w:val="en-US"/>
        </w:rPr>
        <w:t xml:space="preserve"> stress test</w:t>
      </w:r>
      <w:r>
        <w:rPr>
          <w:rFonts w:ascii="Times New Roman" w:hAnsi="Times New Roman" w:cs="Times New Roman"/>
          <w:sz w:val="24"/>
          <w:szCs w:val="24"/>
          <w:lang w:val="en-US"/>
        </w:rPr>
        <w:t>s</w:t>
      </w:r>
      <w:r w:rsidRPr="0063061C">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Pr="0063061C">
        <w:rPr>
          <w:rFonts w:ascii="Times New Roman" w:hAnsi="Times New Roman" w:cs="Times New Roman"/>
          <w:sz w:val="24"/>
          <w:szCs w:val="24"/>
          <w:lang w:val="en-US"/>
        </w:rPr>
        <w:t xml:space="preserve"> applied to:</w:t>
      </w:r>
    </w:p>
    <w:p w:rsidR="00D55472" w:rsidRPr="0063061C" w:rsidRDefault="00D55472" w:rsidP="00472CA4">
      <w:pPr>
        <w:numPr>
          <w:ilvl w:val="0"/>
          <w:numId w:val="49"/>
        </w:numPr>
        <w:spacing w:after="120" w:line="240" w:lineRule="auto"/>
        <w:ind w:left="1417" w:hanging="567"/>
        <w:contextualSpacing/>
        <w:jc w:val="both"/>
        <w:rPr>
          <w:rFonts w:ascii="Times New Roman" w:eastAsia="Times New Roman" w:hAnsi="Times New Roman" w:cs="Times New Roman"/>
          <w:sz w:val="24"/>
          <w:szCs w:val="24"/>
          <w:lang w:val="en-US"/>
        </w:rPr>
      </w:pPr>
      <w:r w:rsidRPr="0063061C">
        <w:rPr>
          <w:rFonts w:ascii="Times New Roman" w:eastAsia="Calibri" w:hAnsi="Times New Roman" w:cs="Times New Roman"/>
          <w:sz w:val="24"/>
          <w:szCs w:val="24"/>
          <w:lang w:val="en-US"/>
        </w:rPr>
        <w:t xml:space="preserve">risks </w:t>
      </w:r>
      <w:r>
        <w:rPr>
          <w:rFonts w:ascii="Times New Roman" w:eastAsia="Calibri" w:hAnsi="Times New Roman" w:cs="Times New Roman"/>
          <w:sz w:val="24"/>
          <w:szCs w:val="24"/>
          <w:lang w:val="en-US"/>
        </w:rPr>
        <w:t>related to</w:t>
      </w:r>
      <w:r w:rsidRPr="0063061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investment activities</w:t>
      </w:r>
      <w:r w:rsidRPr="0063061C">
        <w:rPr>
          <w:rFonts w:ascii="Times New Roman" w:eastAsia="Calibri" w:hAnsi="Times New Roman" w:cs="Times New Roman"/>
          <w:sz w:val="24"/>
          <w:szCs w:val="24"/>
          <w:lang w:val="en-US"/>
        </w:rPr>
        <w:t xml:space="preserve"> (credit, </w:t>
      </w:r>
      <w:r>
        <w:rPr>
          <w:rFonts w:ascii="Times New Roman" w:eastAsia="Calibri" w:hAnsi="Times New Roman" w:cs="Times New Roman"/>
          <w:sz w:val="24"/>
          <w:szCs w:val="24"/>
          <w:lang w:val="en-US"/>
        </w:rPr>
        <w:t>FX</w:t>
      </w:r>
      <w:r w:rsidRPr="0063061C">
        <w:rPr>
          <w:rFonts w:ascii="Times New Roman" w:eastAsia="Calibri" w:hAnsi="Times New Roman" w:cs="Times New Roman"/>
          <w:sz w:val="24"/>
          <w:szCs w:val="24"/>
          <w:lang w:val="en-US"/>
        </w:rPr>
        <w:t xml:space="preserve">, price, interest rate risk and liquidity risk); </w:t>
      </w:r>
    </w:p>
    <w:p w:rsidR="00D55472" w:rsidRPr="0063061C" w:rsidRDefault="00D55472" w:rsidP="00472CA4">
      <w:pPr>
        <w:numPr>
          <w:ilvl w:val="0"/>
          <w:numId w:val="49"/>
        </w:numPr>
        <w:spacing w:after="120" w:line="240" w:lineRule="auto"/>
        <w:ind w:left="1417" w:hanging="567"/>
        <w:contextualSpacing/>
        <w:jc w:val="both"/>
        <w:rPr>
          <w:rFonts w:ascii="Times New Roman" w:eastAsia="Times New Roman" w:hAnsi="Times New Roman" w:cs="Times New Roman"/>
          <w:sz w:val="24"/>
          <w:szCs w:val="24"/>
          <w:lang w:val="en-US"/>
        </w:rPr>
      </w:pPr>
      <w:proofErr w:type="gramStart"/>
      <w:r w:rsidRPr="0063061C">
        <w:rPr>
          <w:rFonts w:ascii="Times New Roman" w:eastAsia="Calibri" w:hAnsi="Times New Roman" w:cs="Times New Roman"/>
          <w:sz w:val="24"/>
          <w:szCs w:val="24"/>
          <w:lang w:val="en-US"/>
        </w:rPr>
        <w:t>specific</w:t>
      </w:r>
      <w:proofErr w:type="gramEnd"/>
      <w:r w:rsidRPr="0063061C">
        <w:rPr>
          <w:rFonts w:ascii="Times New Roman" w:eastAsia="Calibri" w:hAnsi="Times New Roman" w:cs="Times New Roman"/>
          <w:sz w:val="24"/>
          <w:szCs w:val="24"/>
          <w:lang w:val="en-US"/>
        </w:rPr>
        <w:t xml:space="preserve"> risks of NCC as a</w:t>
      </w:r>
      <w:r>
        <w:rPr>
          <w:rFonts w:ascii="Times New Roman" w:eastAsia="Calibri" w:hAnsi="Times New Roman" w:cs="Times New Roman"/>
          <w:sz w:val="24"/>
          <w:szCs w:val="24"/>
          <w:lang w:val="en-US"/>
        </w:rPr>
        <w:t xml:space="preserve"> </w:t>
      </w:r>
      <w:r w:rsidRPr="0063061C">
        <w:rPr>
          <w:rFonts w:ascii="Times New Roman" w:eastAsia="Calibri" w:hAnsi="Times New Roman" w:cs="Times New Roman"/>
          <w:sz w:val="24"/>
          <w:szCs w:val="24"/>
          <w:lang w:val="en-US"/>
        </w:rPr>
        <w:t>CCP.</w:t>
      </w:r>
    </w:p>
    <w:p w:rsidR="00D55472" w:rsidRPr="0063061C" w:rsidRDefault="00D55472" w:rsidP="00D55472">
      <w:pPr>
        <w:spacing w:after="120" w:line="240" w:lineRule="auto"/>
        <w:ind w:firstLine="567"/>
        <w:jc w:val="both"/>
        <w:rPr>
          <w:rFonts w:ascii="Times New Roman" w:eastAsia="Times New Roman" w:hAnsi="Times New Roman" w:cs="Times New Roman"/>
          <w:sz w:val="24"/>
          <w:szCs w:val="24"/>
          <w:lang w:val="en-US"/>
        </w:rPr>
      </w:pPr>
      <w:r w:rsidRPr="0063061C">
        <w:rPr>
          <w:rFonts w:ascii="Times New Roman" w:hAnsi="Times New Roman" w:cs="Times New Roman"/>
          <w:sz w:val="24"/>
          <w:szCs w:val="24"/>
          <w:lang w:val="en-US"/>
        </w:rPr>
        <w:t xml:space="preserve">Stress testing was performed using historical shocks and hypothetical scenarios. </w:t>
      </w:r>
      <w:r>
        <w:rPr>
          <w:rFonts w:ascii="Times New Roman" w:hAnsi="Times New Roman" w:cs="Times New Roman"/>
          <w:sz w:val="24"/>
          <w:szCs w:val="24"/>
          <w:lang w:val="en-US"/>
        </w:rPr>
        <w:t>S</w:t>
      </w:r>
      <w:r w:rsidRPr="0063061C">
        <w:rPr>
          <w:rFonts w:ascii="Times New Roman" w:hAnsi="Times New Roman" w:cs="Times New Roman"/>
          <w:sz w:val="24"/>
          <w:szCs w:val="24"/>
          <w:lang w:val="en-US"/>
        </w:rPr>
        <w:t xml:space="preserve">tress tests </w:t>
      </w:r>
      <w:r>
        <w:rPr>
          <w:rFonts w:ascii="Times New Roman" w:hAnsi="Times New Roman" w:cs="Times New Roman"/>
          <w:sz w:val="24"/>
          <w:szCs w:val="24"/>
          <w:lang w:val="en-US"/>
        </w:rPr>
        <w:t xml:space="preserve">included </w:t>
      </w:r>
      <w:r w:rsidRPr="0063061C">
        <w:rPr>
          <w:rFonts w:ascii="Times New Roman" w:hAnsi="Times New Roman" w:cs="Times New Roman"/>
          <w:sz w:val="24"/>
          <w:szCs w:val="24"/>
          <w:lang w:val="en-US"/>
        </w:rPr>
        <w:t xml:space="preserve">the analysis of assets and liabilities sensitivity to </w:t>
      </w:r>
      <w:r>
        <w:rPr>
          <w:rFonts w:ascii="Times New Roman" w:hAnsi="Times New Roman" w:cs="Times New Roman"/>
          <w:sz w:val="24"/>
          <w:szCs w:val="24"/>
          <w:lang w:val="en-US"/>
        </w:rPr>
        <w:t xml:space="preserve">specific </w:t>
      </w:r>
      <w:r w:rsidRPr="0063061C">
        <w:rPr>
          <w:rFonts w:ascii="Times New Roman" w:hAnsi="Times New Roman" w:cs="Times New Roman"/>
          <w:sz w:val="24"/>
          <w:szCs w:val="24"/>
          <w:lang w:val="en-US"/>
        </w:rPr>
        <w:t xml:space="preserve">risk factors (exchange rates, interest rates, </w:t>
      </w:r>
      <w:r>
        <w:rPr>
          <w:rFonts w:ascii="Times New Roman" w:hAnsi="Times New Roman" w:cs="Times New Roman"/>
          <w:sz w:val="24"/>
          <w:szCs w:val="24"/>
          <w:lang w:val="en-US"/>
        </w:rPr>
        <w:t>price volatility</w:t>
      </w:r>
      <w:r w:rsidRPr="0063061C">
        <w:rPr>
          <w:rFonts w:ascii="Times New Roman" w:hAnsi="Times New Roman" w:cs="Times New Roman"/>
          <w:sz w:val="24"/>
          <w:szCs w:val="24"/>
          <w:lang w:val="en-US"/>
        </w:rPr>
        <w:t>)</w:t>
      </w:r>
      <w:r>
        <w:rPr>
          <w:rFonts w:ascii="Times New Roman" w:hAnsi="Times New Roman" w:cs="Times New Roman"/>
          <w:sz w:val="24"/>
          <w:szCs w:val="24"/>
          <w:lang w:val="en-US"/>
        </w:rPr>
        <w:t xml:space="preserve"> as well as </w:t>
      </w:r>
      <w:r w:rsidRPr="0063061C">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general </w:t>
      </w:r>
      <w:r w:rsidRPr="0063061C">
        <w:rPr>
          <w:rFonts w:ascii="Times New Roman" w:hAnsi="Times New Roman" w:cs="Times New Roman"/>
          <w:sz w:val="24"/>
          <w:szCs w:val="24"/>
          <w:lang w:val="en-US"/>
        </w:rPr>
        <w:t>influence</w:t>
      </w:r>
      <w:r>
        <w:rPr>
          <w:rFonts w:ascii="Times New Roman" w:hAnsi="Times New Roman" w:cs="Times New Roman"/>
          <w:sz w:val="24"/>
          <w:szCs w:val="24"/>
          <w:lang w:val="en-US"/>
        </w:rPr>
        <w:t xml:space="preserve"> assessment</w:t>
      </w:r>
      <w:r w:rsidRPr="0063061C">
        <w:rPr>
          <w:rFonts w:ascii="Times New Roman" w:hAnsi="Times New Roman" w:cs="Times New Roman"/>
          <w:sz w:val="24"/>
          <w:szCs w:val="24"/>
          <w:lang w:val="en-US"/>
        </w:rPr>
        <w:t xml:space="preserve"> of the "worst" combination of risk factors </w:t>
      </w:r>
      <w:r>
        <w:rPr>
          <w:rFonts w:ascii="Times New Roman" w:hAnsi="Times New Roman" w:cs="Times New Roman"/>
          <w:sz w:val="24"/>
          <w:szCs w:val="24"/>
          <w:lang w:val="en-US"/>
        </w:rPr>
        <w:t>on NCC’s financial condition</w:t>
      </w:r>
      <w:r w:rsidRPr="0063061C">
        <w:rPr>
          <w:rFonts w:ascii="Times New Roman" w:hAnsi="Times New Roman" w:cs="Times New Roman"/>
          <w:sz w:val="24"/>
          <w:szCs w:val="24"/>
          <w:lang w:val="en-US"/>
        </w:rPr>
        <w:t xml:space="preserve">. </w:t>
      </w:r>
    </w:p>
    <w:p w:rsidR="00D55472" w:rsidRPr="0063061C" w:rsidRDefault="00D55472" w:rsidP="00D55472">
      <w:pPr>
        <w:spacing w:after="120" w:line="240" w:lineRule="auto"/>
        <w:ind w:firstLine="567"/>
        <w:jc w:val="both"/>
        <w:rPr>
          <w:rFonts w:ascii="Times New Roman" w:hAnsi="Times New Roman" w:cs="Times New Roman"/>
          <w:sz w:val="24"/>
          <w:szCs w:val="24"/>
          <w:lang w:val="en-US"/>
        </w:rPr>
      </w:pPr>
      <w:r w:rsidRPr="0063061C">
        <w:rPr>
          <w:rFonts w:ascii="Times New Roman" w:eastAsia="Calibri" w:hAnsi="Times New Roman" w:cs="Times New Roman"/>
          <w:sz w:val="24"/>
          <w:szCs w:val="24"/>
          <w:lang w:val="en-US"/>
        </w:rPr>
        <w:t xml:space="preserve">The system of </w:t>
      </w:r>
      <w:r w:rsidR="00206F12">
        <w:rPr>
          <w:rFonts w:ascii="Times New Roman" w:eastAsia="Calibri" w:hAnsi="Times New Roman" w:cs="Times New Roman"/>
          <w:sz w:val="24"/>
          <w:szCs w:val="24"/>
          <w:lang w:val="en-US"/>
        </w:rPr>
        <w:t xml:space="preserve">the </w:t>
      </w:r>
      <w:r w:rsidRPr="0063061C">
        <w:rPr>
          <w:rFonts w:ascii="Times New Roman" w:eastAsia="Calibri" w:hAnsi="Times New Roman" w:cs="Times New Roman"/>
          <w:sz w:val="24"/>
          <w:szCs w:val="24"/>
          <w:lang w:val="en-US"/>
        </w:rPr>
        <w:t>stress testing of NCC’s financial stability is</w:t>
      </w:r>
      <w:r>
        <w:rPr>
          <w:rFonts w:ascii="Times New Roman" w:eastAsia="Calibri" w:hAnsi="Times New Roman" w:cs="Times New Roman"/>
          <w:sz w:val="24"/>
          <w:szCs w:val="24"/>
          <w:lang w:val="en-US"/>
        </w:rPr>
        <w:t xml:space="preserve"> depicted </w:t>
      </w:r>
      <w:r w:rsidRPr="0063061C">
        <w:rPr>
          <w:rFonts w:ascii="Times New Roman" w:eastAsia="Calibri" w:hAnsi="Times New Roman" w:cs="Times New Roman"/>
          <w:sz w:val="24"/>
          <w:szCs w:val="24"/>
          <w:lang w:val="en-US"/>
        </w:rPr>
        <w:t>below</w:t>
      </w:r>
      <w:r w:rsidRPr="0063061C">
        <w:rPr>
          <w:rFonts w:ascii="Times New Roman" w:hAnsi="Times New Roman" w:cs="Times New Roman"/>
          <w:sz w:val="24"/>
          <w:szCs w:val="24"/>
          <w:lang w:val="en-US"/>
        </w:rPr>
        <w:t>:</w:t>
      </w:r>
    </w:p>
    <w:p w:rsidR="00D55472" w:rsidRPr="0063061C" w:rsidRDefault="00D55472" w:rsidP="00D55472">
      <w:pPr>
        <w:spacing w:after="120" w:line="240" w:lineRule="auto"/>
        <w:jc w:val="center"/>
        <w:rPr>
          <w:rFonts w:ascii="Times New Roman" w:hAnsi="Times New Roman" w:cs="Times New Roman"/>
          <w:sz w:val="24"/>
          <w:szCs w:val="24"/>
          <w:lang w:val="en-US"/>
        </w:rPr>
      </w:pPr>
      <w:r w:rsidRPr="0063061C">
        <w:rPr>
          <w:rFonts w:ascii="Times New Roman" w:hAnsi="Times New Roman" w:cs="Times New Roman"/>
          <w:noProof/>
          <w:sz w:val="24"/>
          <w:szCs w:val="24"/>
          <w:lang w:eastAsia="ru-RU"/>
        </w:rPr>
        <w:drawing>
          <wp:inline distT="0" distB="0" distL="0" distR="0" wp14:anchorId="00FE61A6" wp14:editId="39F4BB47">
            <wp:extent cx="5940425" cy="4274638"/>
            <wp:effectExtent l="19050" t="0" r="317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0425" cy="4274638"/>
                    </a:xfrm>
                    <a:prstGeom prst="rect">
                      <a:avLst/>
                    </a:prstGeom>
                    <a:noFill/>
                    <a:ln>
                      <a:noFill/>
                    </a:ln>
                  </pic:spPr>
                </pic:pic>
              </a:graphicData>
            </a:graphic>
          </wp:inline>
        </w:drawing>
      </w:r>
    </w:p>
    <w:p w:rsidR="00D55472" w:rsidRPr="0063061C" w:rsidRDefault="00D55472" w:rsidP="00D55472">
      <w:pPr>
        <w:spacing w:after="120" w:line="240" w:lineRule="auto"/>
        <w:ind w:firstLine="567"/>
        <w:jc w:val="both"/>
        <w:rPr>
          <w:rFonts w:ascii="Times New Roman" w:hAnsi="Times New Roman" w:cs="Times New Roman"/>
          <w:sz w:val="24"/>
          <w:szCs w:val="24"/>
          <w:lang w:val="en-US"/>
        </w:rPr>
      </w:pPr>
    </w:p>
    <w:p w:rsidR="00D55472" w:rsidRPr="0063061C" w:rsidRDefault="00D55472" w:rsidP="00D55472">
      <w:pPr>
        <w:spacing w:after="120" w:line="240" w:lineRule="auto"/>
        <w:ind w:firstLine="567"/>
        <w:jc w:val="both"/>
        <w:rPr>
          <w:rFonts w:ascii="Times New Roman" w:hAnsi="Times New Roman" w:cs="Times New Roman"/>
          <w:sz w:val="24"/>
          <w:szCs w:val="24"/>
          <w:lang w:val="en-US"/>
        </w:rPr>
      </w:pPr>
      <w:r w:rsidRPr="0063061C">
        <w:rPr>
          <w:rFonts w:ascii="Times New Roman" w:hAnsi="Times New Roman" w:cs="Times New Roman"/>
          <w:sz w:val="24"/>
          <w:szCs w:val="24"/>
          <w:lang w:val="en-US"/>
        </w:rPr>
        <w:t>The results of NCC’s stress test</w:t>
      </w:r>
      <w:r>
        <w:rPr>
          <w:rFonts w:ascii="Times New Roman" w:hAnsi="Times New Roman" w:cs="Times New Roman"/>
          <w:sz w:val="24"/>
          <w:szCs w:val="24"/>
          <w:lang w:val="en-US"/>
        </w:rPr>
        <w:t>s</w:t>
      </w:r>
      <w:r w:rsidRPr="0063061C">
        <w:rPr>
          <w:rFonts w:ascii="Times New Roman" w:hAnsi="Times New Roman" w:cs="Times New Roman"/>
          <w:sz w:val="24"/>
          <w:szCs w:val="24"/>
          <w:lang w:val="en-US"/>
        </w:rPr>
        <w:t xml:space="preserve"> as </w:t>
      </w:r>
      <w:r w:rsidRPr="00F80FD3">
        <w:rPr>
          <w:rFonts w:ascii="Times New Roman" w:hAnsi="Times New Roman" w:cs="Times New Roman"/>
          <w:sz w:val="24"/>
          <w:szCs w:val="24"/>
          <w:lang w:val="en-US"/>
        </w:rPr>
        <w:t xml:space="preserve">of January 1, 2014 </w:t>
      </w:r>
      <w:r w:rsidRPr="0063061C">
        <w:rPr>
          <w:rFonts w:ascii="Times New Roman" w:hAnsi="Times New Roman" w:cs="Times New Roman"/>
          <w:sz w:val="24"/>
          <w:szCs w:val="24"/>
          <w:lang w:val="en-US"/>
        </w:rPr>
        <w:t xml:space="preserve">are shown in the table below. </w:t>
      </w:r>
      <w:proofErr w:type="gramStart"/>
      <w:r w:rsidRPr="0063061C">
        <w:rPr>
          <w:rFonts w:ascii="Times New Roman" w:hAnsi="Times New Roman" w:cs="Times New Roman"/>
          <w:sz w:val="24"/>
          <w:szCs w:val="24"/>
          <w:lang w:val="en-US"/>
        </w:rPr>
        <w:t xml:space="preserve">Expected level of the regulatory capital adequacy (H1stress) in </w:t>
      </w:r>
      <w:r w:rsidR="00206F12">
        <w:rPr>
          <w:rFonts w:ascii="Times New Roman" w:hAnsi="Times New Roman" w:cs="Times New Roman"/>
          <w:sz w:val="24"/>
          <w:szCs w:val="24"/>
          <w:lang w:val="en-US"/>
        </w:rPr>
        <w:t xml:space="preserve">a </w:t>
      </w:r>
      <w:r w:rsidRPr="0063061C">
        <w:rPr>
          <w:rFonts w:ascii="Times New Roman" w:hAnsi="Times New Roman" w:cs="Times New Roman"/>
          <w:sz w:val="24"/>
          <w:szCs w:val="24"/>
          <w:lang w:val="en-US"/>
        </w:rPr>
        <w:t>critical scenario of stress test reached 16.97% with the specified standard level 10 % and the real value of</w:t>
      </w:r>
      <w:r>
        <w:rPr>
          <w:rFonts w:ascii="Times New Roman" w:hAnsi="Times New Roman" w:cs="Times New Roman"/>
          <w:sz w:val="24"/>
          <w:szCs w:val="24"/>
          <w:lang w:val="en-US"/>
        </w:rPr>
        <w:t xml:space="preserve"> the ratio</w:t>
      </w:r>
      <w:r w:rsidRPr="0063061C">
        <w:rPr>
          <w:rFonts w:ascii="Times New Roman" w:hAnsi="Times New Roman" w:cs="Times New Roman"/>
          <w:sz w:val="24"/>
          <w:szCs w:val="24"/>
          <w:lang w:val="en-US"/>
        </w:rPr>
        <w:t xml:space="preserve"> - 21.69%.</w:t>
      </w:r>
      <w:proofErr w:type="gramEnd"/>
    </w:p>
    <w:p w:rsidR="00D55472" w:rsidRPr="0063061C" w:rsidRDefault="00D55472" w:rsidP="00D55472">
      <w:pPr>
        <w:spacing w:after="120" w:line="240" w:lineRule="auto"/>
        <w:ind w:firstLine="567"/>
        <w:jc w:val="both"/>
        <w:rPr>
          <w:rFonts w:ascii="Times New Roman" w:hAnsi="Times New Roman" w:cs="Times New Roman"/>
          <w:sz w:val="24"/>
          <w:szCs w:val="24"/>
          <w:lang w:val="en-US"/>
        </w:rPr>
      </w:pPr>
    </w:p>
    <w:p w:rsidR="00D55472" w:rsidRPr="00953626" w:rsidRDefault="00D55472" w:rsidP="00D55472">
      <w:pPr>
        <w:spacing w:after="0" w:line="240" w:lineRule="auto"/>
        <w:jc w:val="center"/>
        <w:rPr>
          <w:rFonts w:ascii="Times New Roman" w:hAnsi="Times New Roman" w:cs="Times New Roman"/>
          <w:b/>
          <w:color w:val="FF0000"/>
          <w:sz w:val="24"/>
          <w:szCs w:val="24"/>
          <w:lang w:val="en-US"/>
        </w:rPr>
      </w:pPr>
      <w:r>
        <w:rPr>
          <w:rFonts w:ascii="Times New Roman" w:hAnsi="Times New Roman" w:cs="Times New Roman"/>
          <w:b/>
          <w:sz w:val="24"/>
          <w:szCs w:val="24"/>
          <w:lang w:val="en-US"/>
        </w:rPr>
        <w:t>Stress testing r</w:t>
      </w:r>
      <w:r w:rsidRPr="0063061C">
        <w:rPr>
          <w:rFonts w:ascii="Times New Roman" w:hAnsi="Times New Roman" w:cs="Times New Roman"/>
          <w:b/>
          <w:sz w:val="24"/>
          <w:szCs w:val="24"/>
          <w:lang w:val="en-US"/>
        </w:rPr>
        <w:t xml:space="preserve">esults </w:t>
      </w:r>
      <w:r w:rsidRPr="00F80FD3">
        <w:rPr>
          <w:rFonts w:ascii="Times New Roman" w:hAnsi="Times New Roman" w:cs="Times New Roman"/>
          <w:b/>
          <w:sz w:val="24"/>
          <w:szCs w:val="24"/>
          <w:lang w:val="en-US"/>
        </w:rPr>
        <w:t xml:space="preserve">as </w:t>
      </w:r>
      <w:proofErr w:type="gramStart"/>
      <w:r w:rsidRPr="00F80FD3">
        <w:rPr>
          <w:rFonts w:ascii="Times New Roman" w:hAnsi="Times New Roman" w:cs="Times New Roman"/>
          <w:b/>
          <w:sz w:val="24"/>
          <w:szCs w:val="24"/>
          <w:lang w:val="en-US"/>
        </w:rPr>
        <w:t>of  January</w:t>
      </w:r>
      <w:proofErr w:type="gramEnd"/>
      <w:r w:rsidRPr="00F80FD3">
        <w:rPr>
          <w:rFonts w:ascii="Times New Roman" w:hAnsi="Times New Roman" w:cs="Times New Roman"/>
          <w:b/>
          <w:sz w:val="24"/>
          <w:szCs w:val="24"/>
          <w:lang w:val="en-US"/>
        </w:rPr>
        <w:t xml:space="preserve"> 1, 2014</w:t>
      </w:r>
    </w:p>
    <w:tbl>
      <w:tblPr>
        <w:tblW w:w="9740" w:type="dxa"/>
        <w:tblLook w:val="04A0" w:firstRow="1" w:lastRow="0" w:firstColumn="1" w:lastColumn="0" w:noHBand="0" w:noVBand="1"/>
      </w:tblPr>
      <w:tblGrid>
        <w:gridCol w:w="5660"/>
        <w:gridCol w:w="4080"/>
      </w:tblGrid>
      <w:tr w:rsidR="00D55472" w:rsidRPr="0063061C" w:rsidTr="005B4876">
        <w:trPr>
          <w:trHeight w:val="385"/>
        </w:trPr>
        <w:tc>
          <w:tcPr>
            <w:tcW w:w="5660" w:type="dxa"/>
            <w:tcBorders>
              <w:top w:val="single" w:sz="8" w:space="0" w:color="auto"/>
              <w:left w:val="nil"/>
              <w:bottom w:val="nil"/>
              <w:right w:val="single" w:sz="4" w:space="0" w:color="auto"/>
            </w:tcBorders>
            <w:shd w:val="clear" w:color="auto" w:fill="auto"/>
            <w:hideMark/>
          </w:tcPr>
          <w:p w:rsidR="00D55472" w:rsidRPr="0063061C" w:rsidRDefault="00D55472" w:rsidP="005B4876">
            <w:pPr>
              <w:spacing w:after="0" w:line="240" w:lineRule="auto"/>
              <w:jc w:val="both"/>
              <w:rPr>
                <w:rFonts w:ascii="Times New Roman" w:eastAsia="Times New Roman" w:hAnsi="Times New Roman" w:cs="Times New Roman"/>
                <w:sz w:val="24"/>
                <w:szCs w:val="24"/>
                <w:lang w:val="en-US" w:eastAsia="ru-RU"/>
              </w:rPr>
            </w:pPr>
            <w:r w:rsidRPr="0063061C">
              <w:rPr>
                <w:rFonts w:ascii="Times New Roman" w:eastAsia="Times New Roman" w:hAnsi="Times New Roman" w:cs="Times New Roman"/>
                <w:sz w:val="24"/>
                <w:szCs w:val="24"/>
                <w:lang w:val="en-US" w:eastAsia="ru-RU"/>
              </w:rPr>
              <w:t>General conclusion on stress testing results</w:t>
            </w:r>
          </w:p>
        </w:tc>
        <w:tc>
          <w:tcPr>
            <w:tcW w:w="4080" w:type="dxa"/>
            <w:tcBorders>
              <w:top w:val="single" w:sz="8" w:space="0" w:color="auto"/>
              <w:left w:val="single" w:sz="4" w:space="0" w:color="auto"/>
              <w:bottom w:val="nil"/>
              <w:right w:val="nil"/>
            </w:tcBorders>
            <w:shd w:val="clear" w:color="auto" w:fill="auto"/>
            <w:hideMark/>
          </w:tcPr>
          <w:p w:rsidR="00D55472" w:rsidRPr="0063061C" w:rsidRDefault="00D55472" w:rsidP="005B4876">
            <w:pPr>
              <w:spacing w:after="0" w:line="240" w:lineRule="auto"/>
              <w:jc w:val="center"/>
              <w:rPr>
                <w:rFonts w:ascii="Times New Roman" w:eastAsia="Times New Roman" w:hAnsi="Times New Roman" w:cs="Times New Roman"/>
                <w:sz w:val="24"/>
                <w:szCs w:val="24"/>
                <w:lang w:val="en-US" w:eastAsia="ru-RU"/>
              </w:rPr>
            </w:pPr>
            <w:r w:rsidRPr="0063061C">
              <w:rPr>
                <w:rFonts w:ascii="Times New Roman" w:eastAsia="Times New Roman" w:hAnsi="Times New Roman" w:cs="Times New Roman"/>
                <w:sz w:val="24"/>
                <w:szCs w:val="24"/>
                <w:lang w:val="en-US" w:eastAsia="ru-RU"/>
              </w:rPr>
              <w:t>Passed successfully</w:t>
            </w:r>
          </w:p>
        </w:tc>
      </w:tr>
      <w:tr w:rsidR="00D55472" w:rsidRPr="0063061C" w:rsidTr="005B4876">
        <w:trPr>
          <w:trHeight w:val="330"/>
        </w:trPr>
        <w:tc>
          <w:tcPr>
            <w:tcW w:w="5660" w:type="dxa"/>
            <w:tcBorders>
              <w:top w:val="double" w:sz="6" w:space="0" w:color="auto"/>
              <w:left w:val="nil"/>
              <w:bottom w:val="single" w:sz="4" w:space="0" w:color="auto"/>
              <w:right w:val="single" w:sz="4" w:space="0" w:color="auto"/>
            </w:tcBorders>
            <w:shd w:val="clear" w:color="auto" w:fill="auto"/>
            <w:hideMark/>
          </w:tcPr>
          <w:p w:rsidR="00D55472" w:rsidRPr="0063061C" w:rsidRDefault="00D55472" w:rsidP="005B4876">
            <w:pPr>
              <w:spacing w:after="0" w:line="240" w:lineRule="auto"/>
              <w:jc w:val="both"/>
              <w:rPr>
                <w:rFonts w:ascii="Times New Roman" w:eastAsia="Times New Roman" w:hAnsi="Times New Roman" w:cs="Times New Roman"/>
                <w:sz w:val="24"/>
                <w:szCs w:val="24"/>
                <w:lang w:val="en-US" w:eastAsia="ru-RU"/>
              </w:rPr>
            </w:pPr>
            <w:r w:rsidRPr="00953626">
              <w:rPr>
                <w:rFonts w:ascii="Times New Roman" w:eastAsia="Times New Roman" w:hAnsi="Times New Roman" w:cs="Times New Roman"/>
                <w:sz w:val="24"/>
                <w:szCs w:val="24"/>
                <w:lang w:val="en-US" w:eastAsia="ru-RU"/>
              </w:rPr>
              <w:t>Total</w:t>
            </w:r>
            <w:r w:rsidRPr="00953626">
              <w:rPr>
                <w:rFonts w:ascii="Times New Roman" w:eastAsia="Times New Roman" w:hAnsi="Times New Roman" w:cs="Times New Roman"/>
                <w:color w:val="FF0000"/>
                <w:sz w:val="24"/>
                <w:szCs w:val="24"/>
                <w:lang w:val="en-US" w:eastAsia="ru-RU"/>
              </w:rPr>
              <w:t xml:space="preserve"> </w:t>
            </w:r>
            <w:r w:rsidRPr="0063061C">
              <w:rPr>
                <w:rFonts w:ascii="Times New Roman" w:eastAsia="Times New Roman" w:hAnsi="Times New Roman" w:cs="Times New Roman"/>
                <w:sz w:val="24"/>
                <w:szCs w:val="24"/>
                <w:lang w:val="en-US" w:eastAsia="ru-RU"/>
              </w:rPr>
              <w:t xml:space="preserve">equity (capital) adequacy level </w:t>
            </w:r>
            <w:r w:rsidRPr="0063061C">
              <w:rPr>
                <w:rFonts w:ascii="Times New Roman" w:eastAsia="Times New Roman" w:hAnsi="Times New Roman" w:cs="Times New Roman"/>
                <w:i/>
                <w:iCs/>
                <w:sz w:val="24"/>
                <w:szCs w:val="24"/>
                <w:lang w:val="en-US" w:eastAsia="ru-RU"/>
              </w:rPr>
              <w:t>H1stress</w:t>
            </w:r>
          </w:p>
        </w:tc>
        <w:tc>
          <w:tcPr>
            <w:tcW w:w="4080" w:type="dxa"/>
            <w:tcBorders>
              <w:top w:val="double" w:sz="6" w:space="0" w:color="auto"/>
              <w:left w:val="single" w:sz="4" w:space="0" w:color="auto"/>
              <w:bottom w:val="single" w:sz="4" w:space="0" w:color="auto"/>
              <w:right w:val="nil"/>
            </w:tcBorders>
            <w:shd w:val="clear" w:color="auto" w:fill="auto"/>
            <w:hideMark/>
          </w:tcPr>
          <w:p w:rsidR="00D55472" w:rsidRPr="0063061C" w:rsidRDefault="00D55472" w:rsidP="005B4876">
            <w:pPr>
              <w:spacing w:after="0" w:line="240" w:lineRule="auto"/>
              <w:jc w:val="center"/>
              <w:rPr>
                <w:rFonts w:ascii="Times New Roman" w:eastAsia="Times New Roman" w:hAnsi="Times New Roman" w:cs="Times New Roman"/>
                <w:sz w:val="24"/>
                <w:szCs w:val="24"/>
                <w:lang w:val="en-US" w:eastAsia="ru-RU"/>
              </w:rPr>
            </w:pPr>
            <w:r w:rsidRPr="0063061C">
              <w:rPr>
                <w:rFonts w:ascii="Times New Roman" w:eastAsia="Times New Roman" w:hAnsi="Times New Roman" w:cs="Times New Roman"/>
                <w:sz w:val="24"/>
                <w:szCs w:val="24"/>
                <w:lang w:val="en-US" w:eastAsia="ru-RU"/>
              </w:rPr>
              <w:t>Observed</w:t>
            </w:r>
          </w:p>
        </w:tc>
      </w:tr>
      <w:tr w:rsidR="00D55472" w:rsidRPr="0063061C" w:rsidTr="005B4876">
        <w:trPr>
          <w:trHeight w:val="315"/>
        </w:trPr>
        <w:tc>
          <w:tcPr>
            <w:tcW w:w="5660" w:type="dxa"/>
            <w:tcBorders>
              <w:top w:val="nil"/>
              <w:left w:val="nil"/>
              <w:bottom w:val="single" w:sz="4" w:space="0" w:color="auto"/>
              <w:right w:val="single" w:sz="4" w:space="0" w:color="auto"/>
            </w:tcBorders>
            <w:shd w:val="clear" w:color="auto" w:fill="auto"/>
            <w:hideMark/>
          </w:tcPr>
          <w:p w:rsidR="00D55472" w:rsidRPr="0063061C" w:rsidRDefault="00D55472" w:rsidP="005B4876">
            <w:pPr>
              <w:spacing w:after="0" w:line="240" w:lineRule="auto"/>
              <w:jc w:val="both"/>
              <w:rPr>
                <w:rFonts w:ascii="Times New Roman" w:eastAsia="Times New Roman" w:hAnsi="Times New Roman" w:cs="Times New Roman"/>
                <w:sz w:val="24"/>
                <w:szCs w:val="24"/>
                <w:lang w:val="en-US" w:eastAsia="ru-RU"/>
              </w:rPr>
            </w:pPr>
            <w:r w:rsidRPr="0063061C">
              <w:rPr>
                <w:rFonts w:ascii="Times New Roman" w:eastAsia="Times New Roman" w:hAnsi="Times New Roman" w:cs="Times New Roman"/>
                <w:sz w:val="24"/>
                <w:szCs w:val="24"/>
                <w:lang w:val="en-US" w:eastAsia="ru-RU"/>
              </w:rPr>
              <w:t xml:space="preserve">Threat to operations </w:t>
            </w:r>
            <w:r>
              <w:rPr>
                <w:rFonts w:ascii="Times New Roman" w:eastAsia="Times New Roman" w:hAnsi="Times New Roman" w:cs="Times New Roman"/>
                <w:sz w:val="24"/>
                <w:szCs w:val="24"/>
                <w:lang w:val="en-US" w:eastAsia="ru-RU"/>
              </w:rPr>
              <w:t>smoothness</w:t>
            </w:r>
          </w:p>
        </w:tc>
        <w:tc>
          <w:tcPr>
            <w:tcW w:w="4080" w:type="dxa"/>
            <w:tcBorders>
              <w:top w:val="nil"/>
              <w:left w:val="single" w:sz="4" w:space="0" w:color="auto"/>
              <w:bottom w:val="single" w:sz="4" w:space="0" w:color="auto"/>
              <w:right w:val="nil"/>
            </w:tcBorders>
            <w:shd w:val="clear" w:color="auto" w:fill="auto"/>
            <w:hideMark/>
          </w:tcPr>
          <w:p w:rsidR="00D55472" w:rsidRPr="0063061C" w:rsidRDefault="00D55472" w:rsidP="005B4876">
            <w:pPr>
              <w:spacing w:after="0" w:line="240" w:lineRule="auto"/>
              <w:jc w:val="center"/>
              <w:rPr>
                <w:rFonts w:ascii="Times New Roman" w:eastAsia="Times New Roman" w:hAnsi="Times New Roman" w:cs="Times New Roman"/>
                <w:sz w:val="24"/>
                <w:szCs w:val="24"/>
                <w:lang w:val="en-US" w:eastAsia="ru-RU"/>
              </w:rPr>
            </w:pPr>
            <w:r w:rsidRPr="0063061C">
              <w:rPr>
                <w:rFonts w:ascii="Times New Roman" w:eastAsia="Times New Roman" w:hAnsi="Times New Roman" w:cs="Times New Roman"/>
                <w:sz w:val="24"/>
                <w:szCs w:val="24"/>
                <w:lang w:val="en-US" w:eastAsia="ru-RU"/>
              </w:rPr>
              <w:t>None</w:t>
            </w:r>
          </w:p>
        </w:tc>
      </w:tr>
      <w:tr w:rsidR="00D55472" w:rsidRPr="0063061C" w:rsidTr="005B4876">
        <w:trPr>
          <w:trHeight w:val="315"/>
        </w:trPr>
        <w:tc>
          <w:tcPr>
            <w:tcW w:w="5660" w:type="dxa"/>
            <w:tcBorders>
              <w:top w:val="nil"/>
              <w:left w:val="nil"/>
              <w:bottom w:val="single" w:sz="4" w:space="0" w:color="auto"/>
              <w:right w:val="single" w:sz="4" w:space="0" w:color="auto"/>
            </w:tcBorders>
            <w:shd w:val="clear" w:color="auto" w:fill="auto"/>
            <w:hideMark/>
          </w:tcPr>
          <w:p w:rsidR="00D55472" w:rsidRPr="0063061C" w:rsidRDefault="00D55472" w:rsidP="005B4876">
            <w:pPr>
              <w:spacing w:after="0" w:line="240" w:lineRule="auto"/>
              <w:jc w:val="both"/>
              <w:rPr>
                <w:rFonts w:ascii="Times New Roman" w:eastAsia="Times New Roman" w:hAnsi="Times New Roman" w:cs="Times New Roman"/>
                <w:sz w:val="24"/>
                <w:szCs w:val="24"/>
                <w:lang w:val="en-US" w:eastAsia="ru-RU"/>
              </w:rPr>
            </w:pPr>
            <w:r w:rsidRPr="0063061C">
              <w:rPr>
                <w:rFonts w:ascii="Times New Roman" w:eastAsia="Times New Roman" w:hAnsi="Times New Roman" w:cs="Times New Roman"/>
                <w:sz w:val="24"/>
                <w:szCs w:val="24"/>
                <w:lang w:val="en-US" w:eastAsia="ru-RU"/>
              </w:rPr>
              <w:t>General financial stability</w:t>
            </w:r>
          </w:p>
        </w:tc>
        <w:tc>
          <w:tcPr>
            <w:tcW w:w="4080" w:type="dxa"/>
            <w:tcBorders>
              <w:top w:val="nil"/>
              <w:left w:val="single" w:sz="4" w:space="0" w:color="auto"/>
              <w:bottom w:val="single" w:sz="4" w:space="0" w:color="auto"/>
              <w:right w:val="nil"/>
            </w:tcBorders>
            <w:shd w:val="clear" w:color="auto" w:fill="auto"/>
            <w:hideMark/>
          </w:tcPr>
          <w:p w:rsidR="00D55472" w:rsidRPr="0063061C" w:rsidRDefault="00D55472" w:rsidP="005B4876">
            <w:pPr>
              <w:spacing w:after="0" w:line="240" w:lineRule="auto"/>
              <w:jc w:val="center"/>
              <w:rPr>
                <w:rFonts w:ascii="Times New Roman" w:eastAsia="Times New Roman" w:hAnsi="Times New Roman" w:cs="Times New Roman"/>
                <w:sz w:val="24"/>
                <w:szCs w:val="24"/>
                <w:lang w:val="en-US" w:eastAsia="ru-RU"/>
              </w:rPr>
            </w:pPr>
            <w:r w:rsidRPr="0063061C">
              <w:rPr>
                <w:rFonts w:ascii="Times New Roman" w:eastAsia="Times New Roman" w:hAnsi="Times New Roman" w:cs="Times New Roman"/>
                <w:sz w:val="24"/>
                <w:szCs w:val="24"/>
                <w:lang w:val="en-US" w:eastAsia="ru-RU"/>
              </w:rPr>
              <w:t>Preserved</w:t>
            </w:r>
          </w:p>
        </w:tc>
      </w:tr>
    </w:tbl>
    <w:p w:rsidR="00D55472" w:rsidRPr="0063061C" w:rsidRDefault="00D55472" w:rsidP="00D55472">
      <w:pPr>
        <w:spacing w:before="100" w:after="120" w:line="240" w:lineRule="auto"/>
        <w:jc w:val="center"/>
        <w:rPr>
          <w:rFonts w:ascii="Times New Roman" w:hAnsi="Times New Roman" w:cs="Times New Roman"/>
          <w:b/>
          <w:sz w:val="24"/>
          <w:szCs w:val="24"/>
          <w:lang w:val="en-US"/>
        </w:rPr>
      </w:pPr>
    </w:p>
    <w:p w:rsidR="00D55472" w:rsidRPr="0063061C" w:rsidRDefault="00D55472" w:rsidP="00D55472">
      <w:pPr>
        <w:spacing w:after="120" w:line="240" w:lineRule="auto"/>
        <w:ind w:firstLine="567"/>
        <w:jc w:val="both"/>
        <w:rPr>
          <w:rFonts w:ascii="Times New Roman" w:hAnsi="Times New Roman" w:cs="Times New Roman"/>
          <w:sz w:val="24"/>
          <w:szCs w:val="24"/>
          <w:lang w:val="en-US"/>
        </w:rPr>
      </w:pPr>
      <w:r w:rsidRPr="0063061C">
        <w:rPr>
          <w:rFonts w:ascii="Times New Roman" w:hAnsi="Times New Roman" w:cs="Times New Roman"/>
          <w:sz w:val="24"/>
          <w:szCs w:val="24"/>
          <w:lang w:val="en-US"/>
        </w:rPr>
        <w:t>The results of stress test</w:t>
      </w:r>
      <w:r>
        <w:rPr>
          <w:rFonts w:ascii="Times New Roman" w:hAnsi="Times New Roman" w:cs="Times New Roman"/>
          <w:sz w:val="24"/>
          <w:szCs w:val="24"/>
          <w:lang w:val="en-US"/>
        </w:rPr>
        <w:t>s</w:t>
      </w:r>
      <w:r w:rsidRPr="0063061C">
        <w:rPr>
          <w:rFonts w:ascii="Times New Roman" w:hAnsi="Times New Roman" w:cs="Times New Roman"/>
          <w:sz w:val="24"/>
          <w:szCs w:val="24"/>
          <w:lang w:val="en-US"/>
        </w:rPr>
        <w:t xml:space="preserve">, conducted in 2013, prove </w:t>
      </w:r>
      <w:r w:rsidR="006C4FE3">
        <w:rPr>
          <w:rFonts w:ascii="Times New Roman" w:hAnsi="Times New Roman" w:cs="Times New Roman"/>
          <w:sz w:val="24"/>
          <w:szCs w:val="24"/>
          <w:lang w:val="en-US"/>
        </w:rPr>
        <w:t xml:space="preserve">the </w:t>
      </w:r>
      <w:r>
        <w:rPr>
          <w:rFonts w:ascii="Times New Roman" w:hAnsi="Times New Roman" w:cs="Times New Roman"/>
          <w:sz w:val="24"/>
          <w:szCs w:val="24"/>
          <w:lang w:val="en-US"/>
        </w:rPr>
        <w:t>NCC’s</w:t>
      </w:r>
      <w:r w:rsidRPr="0063061C">
        <w:rPr>
          <w:rFonts w:ascii="Times New Roman" w:hAnsi="Times New Roman" w:cs="Times New Roman"/>
          <w:sz w:val="24"/>
          <w:szCs w:val="24"/>
          <w:lang w:val="en-US"/>
        </w:rPr>
        <w:t xml:space="preserve"> ability to maintain general financial stability without threats to continuity of operations, defined through the sufficiency of risk covering sources within the framework of modeled shocks and their combinations.</w:t>
      </w:r>
    </w:p>
    <w:p w:rsidR="00D55472" w:rsidRPr="0063061C" w:rsidRDefault="00D55472" w:rsidP="00D55472">
      <w:pPr>
        <w:spacing w:after="12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63061C">
        <w:rPr>
          <w:rFonts w:ascii="Times New Roman" w:hAnsi="Times New Roman" w:cs="Times New Roman"/>
          <w:sz w:val="24"/>
          <w:szCs w:val="24"/>
          <w:lang w:val="en-US"/>
        </w:rPr>
        <w:t xml:space="preserve">n 2013 </w:t>
      </w:r>
      <w:r w:rsidR="006C4FE3">
        <w:rPr>
          <w:rFonts w:ascii="Times New Roman" w:hAnsi="Times New Roman" w:cs="Times New Roman"/>
          <w:sz w:val="24"/>
          <w:szCs w:val="24"/>
          <w:lang w:val="en-US"/>
        </w:rPr>
        <w:t xml:space="preserve">the </w:t>
      </w:r>
      <w:r w:rsidRPr="0063061C">
        <w:rPr>
          <w:rFonts w:ascii="Times New Roman" w:hAnsi="Times New Roman" w:cs="Times New Roman"/>
          <w:sz w:val="24"/>
          <w:szCs w:val="24"/>
          <w:lang w:val="en-US"/>
        </w:rPr>
        <w:t>stress testing methodology</w:t>
      </w:r>
      <w:r>
        <w:rPr>
          <w:rFonts w:ascii="Times New Roman" w:hAnsi="Times New Roman" w:cs="Times New Roman"/>
          <w:sz w:val="24"/>
          <w:szCs w:val="24"/>
          <w:lang w:val="en-US"/>
        </w:rPr>
        <w:t xml:space="preserve">, </w:t>
      </w:r>
      <w:r w:rsidRPr="0063061C">
        <w:rPr>
          <w:rFonts w:ascii="Times New Roman" w:hAnsi="Times New Roman" w:cs="Times New Roman"/>
          <w:sz w:val="24"/>
          <w:szCs w:val="24"/>
          <w:lang w:val="en-US"/>
        </w:rPr>
        <w:t xml:space="preserve">which is used to define </w:t>
      </w:r>
      <w:r w:rsidR="006C4FE3">
        <w:rPr>
          <w:rFonts w:ascii="Times New Roman" w:hAnsi="Times New Roman" w:cs="Times New Roman"/>
          <w:sz w:val="24"/>
          <w:szCs w:val="24"/>
          <w:lang w:val="en-US"/>
        </w:rPr>
        <w:t xml:space="preserve">the </w:t>
      </w:r>
      <w:r w:rsidRPr="0063061C">
        <w:rPr>
          <w:rFonts w:ascii="Times New Roman" w:hAnsi="Times New Roman" w:cs="Times New Roman"/>
          <w:sz w:val="24"/>
          <w:szCs w:val="24"/>
          <w:lang w:val="en-US"/>
        </w:rPr>
        <w:t xml:space="preserve">NCC’s financial resources adequacy </w:t>
      </w:r>
      <w:r>
        <w:rPr>
          <w:rFonts w:ascii="Times New Roman" w:hAnsi="Times New Roman" w:cs="Times New Roman"/>
          <w:sz w:val="24"/>
          <w:szCs w:val="24"/>
          <w:lang w:val="en-US"/>
        </w:rPr>
        <w:t>for</w:t>
      </w:r>
      <w:r w:rsidRPr="0063061C">
        <w:rPr>
          <w:rFonts w:ascii="Times New Roman" w:hAnsi="Times New Roman" w:cs="Times New Roman"/>
          <w:sz w:val="24"/>
          <w:szCs w:val="24"/>
          <w:lang w:val="en-US"/>
        </w:rPr>
        <w:t xml:space="preserve"> cover</w:t>
      </w:r>
      <w:r>
        <w:rPr>
          <w:rFonts w:ascii="Times New Roman" w:hAnsi="Times New Roman" w:cs="Times New Roman"/>
          <w:sz w:val="24"/>
          <w:szCs w:val="24"/>
          <w:lang w:val="en-US"/>
        </w:rPr>
        <w:t>ing</w:t>
      </w:r>
      <w:r w:rsidRPr="0063061C">
        <w:rPr>
          <w:rFonts w:ascii="Times New Roman" w:hAnsi="Times New Roman" w:cs="Times New Roman"/>
          <w:sz w:val="24"/>
          <w:szCs w:val="24"/>
          <w:lang w:val="en-US"/>
        </w:rPr>
        <w:t xml:space="preserve"> </w:t>
      </w:r>
      <w:r>
        <w:rPr>
          <w:rFonts w:ascii="Times New Roman" w:hAnsi="Times New Roman" w:cs="Times New Roman"/>
          <w:sz w:val="24"/>
          <w:szCs w:val="24"/>
          <w:lang w:val="en-US"/>
        </w:rPr>
        <w:t>possible</w:t>
      </w:r>
      <w:r w:rsidRPr="0063061C">
        <w:rPr>
          <w:rFonts w:ascii="Times New Roman" w:hAnsi="Times New Roman" w:cs="Times New Roman"/>
          <w:sz w:val="24"/>
          <w:szCs w:val="24"/>
          <w:lang w:val="en-US"/>
        </w:rPr>
        <w:t xml:space="preserve"> risks</w:t>
      </w:r>
      <w:r>
        <w:rPr>
          <w:rFonts w:ascii="Times New Roman" w:hAnsi="Times New Roman" w:cs="Times New Roman"/>
          <w:sz w:val="24"/>
          <w:szCs w:val="24"/>
          <w:lang w:val="en-US"/>
        </w:rPr>
        <w:t>,</w:t>
      </w:r>
      <w:r w:rsidRPr="0063061C">
        <w:rPr>
          <w:rFonts w:ascii="Times New Roman" w:hAnsi="Times New Roman" w:cs="Times New Roman"/>
          <w:sz w:val="24"/>
          <w:szCs w:val="24"/>
          <w:lang w:val="en-US"/>
        </w:rPr>
        <w:t xml:space="preserve"> was </w:t>
      </w:r>
      <w:r>
        <w:rPr>
          <w:rFonts w:ascii="Times New Roman" w:hAnsi="Times New Roman" w:cs="Times New Roman"/>
          <w:sz w:val="24"/>
          <w:szCs w:val="24"/>
          <w:lang w:val="en-US"/>
        </w:rPr>
        <w:t>updated to absorb new markets and new products cleared via NCC as a central counterparty</w:t>
      </w:r>
      <w:r w:rsidRPr="0063061C">
        <w:rPr>
          <w:rFonts w:ascii="Times New Roman" w:hAnsi="Times New Roman" w:cs="Times New Roman"/>
          <w:sz w:val="24"/>
          <w:szCs w:val="24"/>
          <w:lang w:val="en-US"/>
        </w:rPr>
        <w:t>.</w:t>
      </w:r>
    </w:p>
    <w:p w:rsidR="00D55472" w:rsidRPr="0063061C" w:rsidRDefault="00D55472" w:rsidP="00D55472">
      <w:pPr>
        <w:spacing w:after="120" w:line="240" w:lineRule="auto"/>
        <w:ind w:firstLine="567"/>
        <w:jc w:val="both"/>
        <w:rPr>
          <w:rFonts w:ascii="Times New Roman" w:hAnsi="Times New Roman" w:cs="Times New Roman"/>
          <w:sz w:val="24"/>
          <w:szCs w:val="24"/>
          <w:lang w:val="en-US"/>
        </w:rPr>
      </w:pPr>
    </w:p>
    <w:p w:rsidR="00D55472" w:rsidRPr="0063061C" w:rsidRDefault="00D55472" w:rsidP="00D55472">
      <w:pPr>
        <w:spacing w:before="100" w:after="12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NCC’s International</w:t>
      </w:r>
      <w:r w:rsidRPr="0063061C">
        <w:rPr>
          <w:rFonts w:ascii="Times New Roman" w:hAnsi="Times New Roman" w:cs="Times New Roman"/>
          <w:b/>
          <w:sz w:val="24"/>
          <w:szCs w:val="24"/>
          <w:lang w:val="en-US"/>
        </w:rPr>
        <w:t xml:space="preserve"> </w:t>
      </w:r>
      <w:r>
        <w:rPr>
          <w:rFonts w:ascii="Times New Roman" w:hAnsi="Times New Roman" w:cs="Times New Roman"/>
          <w:b/>
          <w:sz w:val="24"/>
          <w:szCs w:val="24"/>
          <w:lang w:val="en-US"/>
        </w:rPr>
        <w:t>C</w:t>
      </w:r>
      <w:r w:rsidRPr="0063061C">
        <w:rPr>
          <w:rFonts w:ascii="Times New Roman" w:hAnsi="Times New Roman" w:cs="Times New Roman"/>
          <w:b/>
          <w:sz w:val="24"/>
          <w:szCs w:val="24"/>
          <w:lang w:val="en-US"/>
        </w:rPr>
        <w:t xml:space="preserve">redit </w:t>
      </w:r>
      <w:r>
        <w:rPr>
          <w:rFonts w:ascii="Times New Roman" w:hAnsi="Times New Roman" w:cs="Times New Roman"/>
          <w:b/>
          <w:sz w:val="24"/>
          <w:szCs w:val="24"/>
          <w:lang w:val="en-US"/>
        </w:rPr>
        <w:t>R</w:t>
      </w:r>
      <w:r w:rsidRPr="0063061C">
        <w:rPr>
          <w:rFonts w:ascii="Times New Roman" w:hAnsi="Times New Roman" w:cs="Times New Roman"/>
          <w:b/>
          <w:sz w:val="24"/>
          <w:szCs w:val="24"/>
          <w:lang w:val="en-US"/>
        </w:rPr>
        <w:t xml:space="preserve">ating </w:t>
      </w:r>
    </w:p>
    <w:p w:rsidR="00D55472" w:rsidRPr="009F55B7" w:rsidRDefault="00D55472" w:rsidP="00D55472">
      <w:pPr>
        <w:spacing w:after="12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2013 </w:t>
      </w:r>
      <w:r w:rsidRPr="0063061C">
        <w:rPr>
          <w:rFonts w:ascii="Times New Roman" w:hAnsi="Times New Roman" w:cs="Times New Roman"/>
          <w:sz w:val="24"/>
          <w:szCs w:val="24"/>
          <w:lang w:val="en-US"/>
        </w:rPr>
        <w:t xml:space="preserve">Fitch Ratings </w:t>
      </w:r>
      <w:r>
        <w:rPr>
          <w:rFonts w:ascii="Times New Roman" w:hAnsi="Times New Roman" w:cs="Times New Roman"/>
          <w:sz w:val="24"/>
          <w:szCs w:val="24"/>
          <w:lang w:val="en-US"/>
        </w:rPr>
        <w:t>upgraded</w:t>
      </w:r>
      <w:r w:rsidRPr="0063061C">
        <w:rPr>
          <w:rFonts w:ascii="Times New Roman" w:hAnsi="Times New Roman" w:cs="Times New Roman"/>
          <w:sz w:val="24"/>
          <w:szCs w:val="24"/>
          <w:lang w:val="en-US"/>
        </w:rPr>
        <w:t xml:space="preserve"> NCC’s</w:t>
      </w:r>
      <w:r>
        <w:rPr>
          <w:rFonts w:ascii="Times New Roman" w:hAnsi="Times New Roman" w:cs="Times New Roman"/>
          <w:sz w:val="24"/>
          <w:szCs w:val="24"/>
          <w:lang w:val="en-US"/>
        </w:rPr>
        <w:t xml:space="preserve"> </w:t>
      </w:r>
      <w:r w:rsidRPr="0063061C">
        <w:rPr>
          <w:rFonts w:ascii="Times New Roman" w:hAnsi="Times New Roman" w:cs="Times New Roman"/>
          <w:sz w:val="24"/>
          <w:szCs w:val="24"/>
          <w:lang w:val="en-US"/>
        </w:rPr>
        <w:t>long-term rating of issuer’s default</w:t>
      </w:r>
      <w:r>
        <w:rPr>
          <w:rFonts w:ascii="Times New Roman" w:hAnsi="Times New Roman" w:cs="Times New Roman"/>
          <w:sz w:val="24"/>
          <w:szCs w:val="24"/>
          <w:lang w:val="en-US"/>
        </w:rPr>
        <w:t xml:space="preserve">. This upgrading was driven by </w:t>
      </w:r>
      <w:r w:rsidRPr="0063061C">
        <w:rPr>
          <w:rFonts w:ascii="Times New Roman" w:hAnsi="Times New Roman" w:cs="Times New Roman"/>
          <w:sz w:val="24"/>
          <w:szCs w:val="24"/>
          <w:lang w:val="en-US"/>
        </w:rPr>
        <w:t xml:space="preserve">the growth in NCC’s systemic significance and high, according to the Fitch’s opinion, probability of </w:t>
      </w:r>
      <w:r w:rsidR="006C4FE3">
        <w:rPr>
          <w:rFonts w:ascii="Times New Roman" w:hAnsi="Times New Roman" w:cs="Times New Roman"/>
          <w:sz w:val="24"/>
          <w:szCs w:val="24"/>
          <w:lang w:val="en-US"/>
        </w:rPr>
        <w:t xml:space="preserve">the </w:t>
      </w:r>
      <w:r w:rsidRPr="0063061C">
        <w:rPr>
          <w:rFonts w:ascii="Times New Roman" w:hAnsi="Times New Roman" w:cs="Times New Roman"/>
          <w:sz w:val="24"/>
          <w:szCs w:val="24"/>
          <w:lang w:val="en-US"/>
        </w:rPr>
        <w:t xml:space="preserve">governmental support for the Bank, and the raise of its financial stability as </w:t>
      </w:r>
      <w:r>
        <w:rPr>
          <w:rFonts w:ascii="Times New Roman" w:hAnsi="Times New Roman" w:cs="Times New Roman"/>
          <w:sz w:val="24"/>
          <w:szCs w:val="24"/>
          <w:lang w:val="en-US"/>
        </w:rPr>
        <w:t>a</w:t>
      </w:r>
      <w:r w:rsidRPr="0063061C">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63061C">
        <w:rPr>
          <w:rFonts w:ascii="Times New Roman" w:hAnsi="Times New Roman" w:cs="Times New Roman"/>
          <w:sz w:val="24"/>
          <w:szCs w:val="24"/>
          <w:lang w:val="en-US"/>
        </w:rPr>
        <w:t xml:space="preserve">entral </w:t>
      </w:r>
      <w:r>
        <w:rPr>
          <w:rFonts w:ascii="Times New Roman" w:hAnsi="Times New Roman" w:cs="Times New Roman"/>
          <w:sz w:val="24"/>
          <w:szCs w:val="24"/>
          <w:lang w:val="en-US"/>
        </w:rPr>
        <w:t>c</w:t>
      </w:r>
      <w:r w:rsidRPr="0063061C">
        <w:rPr>
          <w:rFonts w:ascii="Times New Roman" w:hAnsi="Times New Roman" w:cs="Times New Roman"/>
          <w:sz w:val="24"/>
          <w:szCs w:val="24"/>
          <w:lang w:val="en-US"/>
        </w:rPr>
        <w:t xml:space="preserve">ounterparty. </w:t>
      </w:r>
    </w:p>
    <w:p w:rsidR="00D55472" w:rsidRPr="0063061C" w:rsidRDefault="00D55472" w:rsidP="00D55472">
      <w:pPr>
        <w:spacing w:after="120" w:line="240" w:lineRule="auto"/>
        <w:ind w:firstLine="567"/>
        <w:jc w:val="both"/>
        <w:rPr>
          <w:rFonts w:ascii="Times New Roman" w:hAnsi="Times New Roman" w:cs="Times New Roman"/>
          <w:sz w:val="24"/>
          <w:szCs w:val="24"/>
          <w:lang w:val="en-US"/>
        </w:rPr>
      </w:pPr>
      <w:r w:rsidRPr="0063061C">
        <w:rPr>
          <w:rFonts w:ascii="Times New Roman" w:hAnsi="Times New Roman" w:cs="Times New Roman"/>
          <w:sz w:val="24"/>
          <w:szCs w:val="24"/>
          <w:lang w:val="en-US"/>
        </w:rPr>
        <w:t xml:space="preserve">According to </w:t>
      </w:r>
      <w:r w:rsidR="006C4FE3">
        <w:rPr>
          <w:rFonts w:ascii="Times New Roman" w:hAnsi="Times New Roman" w:cs="Times New Roman"/>
          <w:sz w:val="24"/>
          <w:szCs w:val="24"/>
          <w:lang w:val="en-US"/>
        </w:rPr>
        <w:t xml:space="preserve">the </w:t>
      </w:r>
      <w:r w:rsidRPr="0063061C">
        <w:rPr>
          <w:rFonts w:ascii="Times New Roman" w:hAnsi="Times New Roman" w:cs="Times New Roman"/>
          <w:sz w:val="24"/>
          <w:szCs w:val="24"/>
          <w:lang w:val="en-US"/>
        </w:rPr>
        <w:t xml:space="preserve">Fitch Ratings’ estimation, the NCC’s credit risk is moderate, as the amount of </w:t>
      </w:r>
      <w:r>
        <w:rPr>
          <w:rFonts w:ascii="Times New Roman" w:hAnsi="Times New Roman" w:cs="Times New Roman"/>
          <w:sz w:val="24"/>
          <w:szCs w:val="24"/>
          <w:lang w:val="en-US"/>
        </w:rPr>
        <w:t>financial resources</w:t>
      </w:r>
      <w:r w:rsidRPr="0063061C">
        <w:rPr>
          <w:rFonts w:ascii="Times New Roman" w:hAnsi="Times New Roman" w:cs="Times New Roman"/>
          <w:sz w:val="24"/>
          <w:szCs w:val="24"/>
          <w:lang w:val="en-US"/>
        </w:rPr>
        <w:t xml:space="preserve"> at the Bank’s disposal is sufficient to cover potential losses arising </w:t>
      </w:r>
      <w:r>
        <w:rPr>
          <w:rFonts w:ascii="Times New Roman" w:hAnsi="Times New Roman" w:cs="Times New Roman"/>
          <w:sz w:val="24"/>
          <w:szCs w:val="24"/>
          <w:lang w:val="en-US"/>
        </w:rPr>
        <w:t>from</w:t>
      </w:r>
      <w:r w:rsidRPr="0063061C">
        <w:rPr>
          <w:rFonts w:ascii="Times New Roman" w:hAnsi="Times New Roman" w:cs="Times New Roman"/>
          <w:sz w:val="24"/>
          <w:szCs w:val="24"/>
          <w:lang w:val="en-US"/>
        </w:rPr>
        <w:t xml:space="preserve"> counterparties</w:t>
      </w:r>
      <w:r>
        <w:rPr>
          <w:rFonts w:ascii="Times New Roman" w:hAnsi="Times New Roman" w:cs="Times New Roman"/>
          <w:sz w:val="24"/>
          <w:szCs w:val="24"/>
          <w:lang w:val="en-US"/>
        </w:rPr>
        <w:t>’</w:t>
      </w:r>
      <w:r w:rsidRPr="0063061C">
        <w:rPr>
          <w:rFonts w:ascii="Times New Roman" w:hAnsi="Times New Roman" w:cs="Times New Roman"/>
          <w:sz w:val="24"/>
          <w:szCs w:val="24"/>
          <w:lang w:val="en-US"/>
        </w:rPr>
        <w:t xml:space="preserve"> defaults. </w:t>
      </w:r>
      <w:r>
        <w:rPr>
          <w:rFonts w:ascii="Times New Roman" w:hAnsi="Times New Roman" w:cs="Times New Roman"/>
          <w:sz w:val="24"/>
          <w:szCs w:val="24"/>
          <w:lang w:val="en-US"/>
        </w:rPr>
        <w:t>Daily</w:t>
      </w:r>
      <w:r w:rsidRPr="0063061C">
        <w:rPr>
          <w:rFonts w:ascii="Times New Roman" w:hAnsi="Times New Roman" w:cs="Times New Roman"/>
          <w:sz w:val="24"/>
          <w:szCs w:val="24"/>
          <w:lang w:val="en-US"/>
        </w:rPr>
        <w:t xml:space="preserve"> margining with a possibility to regulate the requirements to </w:t>
      </w:r>
      <w:r>
        <w:rPr>
          <w:rFonts w:ascii="Times New Roman" w:hAnsi="Times New Roman" w:cs="Times New Roman"/>
          <w:sz w:val="24"/>
          <w:szCs w:val="24"/>
          <w:lang w:val="en-US"/>
        </w:rPr>
        <w:t>collateral</w:t>
      </w:r>
      <w:r w:rsidRPr="0063061C">
        <w:rPr>
          <w:rFonts w:ascii="Times New Roman" w:hAnsi="Times New Roman" w:cs="Times New Roman"/>
          <w:sz w:val="24"/>
          <w:szCs w:val="24"/>
          <w:lang w:val="en-US"/>
        </w:rPr>
        <w:t xml:space="preserve"> in case of significant market volatility also reduces risks. Among the factors, proving the raise of NCC’s financial stability</w:t>
      </w:r>
      <w:r>
        <w:rPr>
          <w:rFonts w:ascii="Times New Roman" w:hAnsi="Times New Roman" w:cs="Times New Roman"/>
          <w:sz w:val="24"/>
          <w:szCs w:val="24"/>
          <w:lang w:val="en-US"/>
        </w:rPr>
        <w:t>,</w:t>
      </w:r>
      <w:r w:rsidRPr="0063061C">
        <w:rPr>
          <w:rFonts w:ascii="Times New Roman" w:hAnsi="Times New Roman" w:cs="Times New Roman"/>
          <w:sz w:val="24"/>
          <w:szCs w:val="24"/>
          <w:lang w:val="en-US"/>
        </w:rPr>
        <w:t xml:space="preserve"> Fitch Ratings mentioned the </w:t>
      </w:r>
      <w:r>
        <w:rPr>
          <w:rFonts w:ascii="Times New Roman" w:hAnsi="Times New Roman" w:cs="Times New Roman"/>
          <w:sz w:val="24"/>
          <w:szCs w:val="24"/>
          <w:lang w:val="en-US"/>
        </w:rPr>
        <w:t>increase</w:t>
      </w:r>
      <w:r w:rsidRPr="0063061C">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63061C">
        <w:rPr>
          <w:rFonts w:ascii="Times New Roman" w:hAnsi="Times New Roman" w:cs="Times New Roman"/>
          <w:sz w:val="24"/>
          <w:szCs w:val="24"/>
          <w:lang w:val="en-US"/>
        </w:rPr>
        <w:t xml:space="preserve"> </w:t>
      </w:r>
      <w:r w:rsidR="00944CCA">
        <w:rPr>
          <w:rFonts w:ascii="Times New Roman" w:hAnsi="Times New Roman" w:cs="Times New Roman"/>
          <w:sz w:val="24"/>
          <w:szCs w:val="24"/>
          <w:lang w:val="en-US"/>
        </w:rPr>
        <w:t xml:space="preserve">the </w:t>
      </w:r>
      <w:r w:rsidRPr="0063061C">
        <w:rPr>
          <w:rFonts w:ascii="Times New Roman" w:hAnsi="Times New Roman" w:cs="Times New Roman"/>
          <w:sz w:val="24"/>
          <w:szCs w:val="24"/>
          <w:lang w:val="en-US"/>
        </w:rPr>
        <w:t xml:space="preserve">NCC’s </w:t>
      </w:r>
      <w:r w:rsidRPr="00FB2750">
        <w:rPr>
          <w:rFonts w:ascii="Times New Roman" w:hAnsi="Times New Roman" w:cs="Times New Roman"/>
          <w:sz w:val="24"/>
          <w:szCs w:val="24"/>
          <w:lang w:val="en-US"/>
        </w:rPr>
        <w:t>own</w:t>
      </w:r>
      <w:r>
        <w:rPr>
          <w:rFonts w:ascii="Times New Roman" w:hAnsi="Times New Roman" w:cs="Times New Roman"/>
          <w:color w:val="FF0000"/>
          <w:sz w:val="24"/>
          <w:szCs w:val="24"/>
          <w:lang w:val="en-US"/>
        </w:rPr>
        <w:t xml:space="preserve"> </w:t>
      </w:r>
      <w:r w:rsidRPr="0063061C">
        <w:rPr>
          <w:rFonts w:ascii="Times New Roman" w:hAnsi="Times New Roman" w:cs="Times New Roman"/>
          <w:sz w:val="24"/>
          <w:szCs w:val="24"/>
          <w:lang w:val="en-US"/>
        </w:rPr>
        <w:t xml:space="preserve">capital </w:t>
      </w:r>
      <w:r>
        <w:rPr>
          <w:rFonts w:ascii="Times New Roman" w:hAnsi="Times New Roman" w:cs="Times New Roman"/>
          <w:sz w:val="24"/>
          <w:szCs w:val="24"/>
          <w:lang w:val="en-US"/>
        </w:rPr>
        <w:t>due to</w:t>
      </w:r>
      <w:r w:rsidRPr="0063061C">
        <w:rPr>
          <w:rFonts w:ascii="Times New Roman" w:hAnsi="Times New Roman" w:cs="Times New Roman"/>
          <w:sz w:val="24"/>
          <w:szCs w:val="24"/>
          <w:lang w:val="en-US"/>
        </w:rPr>
        <w:t xml:space="preserve"> the increase of </w:t>
      </w:r>
      <w:proofErr w:type="gramStart"/>
      <w:r w:rsidR="00944CCA">
        <w:rPr>
          <w:rFonts w:ascii="Times New Roman" w:hAnsi="Times New Roman" w:cs="Times New Roman"/>
          <w:sz w:val="24"/>
          <w:szCs w:val="24"/>
          <w:lang w:val="en-US"/>
        </w:rPr>
        <w:t xml:space="preserve">its </w:t>
      </w:r>
      <w:r w:rsidRPr="0063061C">
        <w:rPr>
          <w:rFonts w:ascii="Times New Roman" w:hAnsi="Times New Roman" w:cs="Times New Roman"/>
          <w:sz w:val="24"/>
          <w:szCs w:val="24"/>
          <w:lang w:val="en-US"/>
        </w:rPr>
        <w:t xml:space="preserve"> core</w:t>
      </w:r>
      <w:proofErr w:type="gramEnd"/>
      <w:r w:rsidRPr="0063061C">
        <w:rPr>
          <w:rFonts w:ascii="Times New Roman" w:hAnsi="Times New Roman" w:cs="Times New Roman"/>
          <w:sz w:val="24"/>
          <w:szCs w:val="24"/>
          <w:lang w:val="en-US"/>
        </w:rPr>
        <w:t xml:space="preserve"> capital </w:t>
      </w:r>
      <w:r>
        <w:rPr>
          <w:rFonts w:ascii="Times New Roman" w:hAnsi="Times New Roman" w:cs="Times New Roman"/>
          <w:sz w:val="24"/>
          <w:szCs w:val="24"/>
          <w:lang w:val="en-US"/>
        </w:rPr>
        <w:t>by</w:t>
      </w:r>
      <w:r w:rsidRPr="0063061C">
        <w:rPr>
          <w:rFonts w:ascii="Times New Roman" w:hAnsi="Times New Roman" w:cs="Times New Roman"/>
          <w:sz w:val="24"/>
          <w:szCs w:val="24"/>
          <w:lang w:val="en-US"/>
        </w:rPr>
        <w:t xml:space="preserve"> 9 billion </w:t>
      </w:r>
      <w:proofErr w:type="spellStart"/>
      <w:r w:rsidRPr="0063061C">
        <w:rPr>
          <w:rFonts w:ascii="Times New Roman" w:hAnsi="Times New Roman" w:cs="Times New Roman"/>
          <w:sz w:val="24"/>
          <w:szCs w:val="24"/>
          <w:lang w:val="en-US"/>
        </w:rPr>
        <w:t>roubles</w:t>
      </w:r>
      <w:proofErr w:type="spellEnd"/>
      <w:r w:rsidRPr="0063061C">
        <w:rPr>
          <w:rFonts w:ascii="Times New Roman" w:hAnsi="Times New Roman" w:cs="Times New Roman"/>
          <w:sz w:val="24"/>
          <w:szCs w:val="24"/>
          <w:lang w:val="en-US"/>
        </w:rPr>
        <w:t xml:space="preserve"> in October 2013. </w:t>
      </w:r>
    </w:p>
    <w:p w:rsidR="00D55472" w:rsidRPr="0063061C" w:rsidRDefault="00944CCA" w:rsidP="00D55472">
      <w:pPr>
        <w:spacing w:after="12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An i</w:t>
      </w:r>
      <w:r w:rsidR="00D55472" w:rsidRPr="0063061C">
        <w:rPr>
          <w:rFonts w:ascii="Times New Roman" w:hAnsi="Times New Roman" w:cs="Times New Roman"/>
          <w:sz w:val="24"/>
          <w:szCs w:val="24"/>
          <w:lang w:val="en-US"/>
        </w:rPr>
        <w:t xml:space="preserve">nternational credit </w:t>
      </w:r>
      <w:r w:rsidR="00D55472">
        <w:rPr>
          <w:rFonts w:ascii="Times New Roman" w:hAnsi="Times New Roman" w:cs="Times New Roman"/>
          <w:sz w:val="24"/>
          <w:szCs w:val="24"/>
          <w:lang w:val="en-US"/>
        </w:rPr>
        <w:t xml:space="preserve">rating </w:t>
      </w:r>
      <w:r w:rsidR="00D55472" w:rsidRPr="0063061C">
        <w:rPr>
          <w:rFonts w:ascii="Times New Roman" w:hAnsi="Times New Roman" w:cs="Times New Roman"/>
          <w:sz w:val="24"/>
          <w:szCs w:val="24"/>
          <w:lang w:val="en-US"/>
        </w:rPr>
        <w:t xml:space="preserve">assigned to NCC corresponds </w:t>
      </w:r>
      <w:r w:rsidR="00D55472">
        <w:rPr>
          <w:rFonts w:ascii="Times New Roman" w:hAnsi="Times New Roman" w:cs="Times New Roman"/>
          <w:sz w:val="24"/>
          <w:szCs w:val="24"/>
          <w:lang w:val="en-US"/>
        </w:rPr>
        <w:t>with</w:t>
      </w:r>
      <w:r w:rsidR="00D55472" w:rsidRPr="0063061C">
        <w:rPr>
          <w:rFonts w:ascii="Times New Roman" w:hAnsi="Times New Roman" w:cs="Times New Roman"/>
          <w:sz w:val="24"/>
          <w:szCs w:val="24"/>
          <w:lang w:val="en-US"/>
        </w:rPr>
        <w:t xml:space="preserve"> the level of international ratings of leading </w:t>
      </w:r>
      <w:r w:rsidR="00D55472">
        <w:rPr>
          <w:rFonts w:ascii="Times New Roman" w:hAnsi="Times New Roman" w:cs="Times New Roman"/>
          <w:sz w:val="24"/>
          <w:szCs w:val="24"/>
          <w:lang w:val="en-US"/>
        </w:rPr>
        <w:t>foreign</w:t>
      </w:r>
      <w:r w:rsidR="00D55472" w:rsidRPr="0063061C">
        <w:rPr>
          <w:rFonts w:ascii="Times New Roman" w:hAnsi="Times New Roman" w:cs="Times New Roman"/>
          <w:sz w:val="24"/>
          <w:szCs w:val="24"/>
          <w:lang w:val="en-US"/>
        </w:rPr>
        <w:t xml:space="preserve"> clearing houses – central counterparties as shown in the diagram:</w:t>
      </w:r>
    </w:p>
    <w:p w:rsidR="00D55472" w:rsidRPr="0063061C" w:rsidRDefault="00D55472" w:rsidP="00D55472">
      <w:pPr>
        <w:spacing w:after="120" w:line="240" w:lineRule="auto"/>
        <w:ind w:firstLine="567"/>
        <w:jc w:val="both"/>
        <w:rPr>
          <w:rFonts w:ascii="Times New Roman" w:hAnsi="Times New Roman" w:cs="Times New Roman"/>
          <w:sz w:val="24"/>
          <w:szCs w:val="24"/>
          <w:lang w:val="en-US"/>
        </w:rPr>
      </w:pPr>
    </w:p>
    <w:p w:rsidR="00D55472" w:rsidRPr="0063061C" w:rsidRDefault="00D55472" w:rsidP="00D55472">
      <w:pPr>
        <w:spacing w:after="120" w:line="240" w:lineRule="auto"/>
        <w:ind w:firstLine="567"/>
        <w:jc w:val="both"/>
        <w:rPr>
          <w:rFonts w:ascii="Times New Roman" w:hAnsi="Times New Roman" w:cs="Times New Roman"/>
          <w:sz w:val="24"/>
          <w:szCs w:val="24"/>
          <w:lang w:val="en-US"/>
        </w:rPr>
      </w:pPr>
      <w:r w:rsidRPr="0063061C">
        <w:rPr>
          <w:rFonts w:ascii="Times New Roman" w:hAnsi="Times New Roman" w:cs="Times New Roman"/>
          <w:noProof/>
          <w:sz w:val="24"/>
          <w:szCs w:val="24"/>
          <w:lang w:eastAsia="ru-RU"/>
        </w:rPr>
        <w:drawing>
          <wp:inline distT="0" distB="0" distL="0" distR="0" wp14:anchorId="7CC15F71" wp14:editId="217776C0">
            <wp:extent cx="5514975" cy="3320444"/>
            <wp:effectExtent l="19050" t="0" r="0" b="0"/>
            <wp:docPr id="35" name="Рисунок 35" descr="cid:image001.png@01CF4392.71AAD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 descr="cid:image001.png@01CF4392.71AAD120"/>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5540486" cy="3335804"/>
                    </a:xfrm>
                    <a:prstGeom prst="rect">
                      <a:avLst/>
                    </a:prstGeom>
                    <a:noFill/>
                    <a:ln>
                      <a:noFill/>
                    </a:ln>
                  </pic:spPr>
                </pic:pic>
              </a:graphicData>
            </a:graphic>
          </wp:inline>
        </w:drawing>
      </w:r>
    </w:p>
    <w:p w:rsidR="00D55472" w:rsidRPr="0063061C" w:rsidRDefault="00D55472" w:rsidP="00D55472">
      <w:pPr>
        <w:spacing w:before="100" w:after="120" w:line="240" w:lineRule="auto"/>
        <w:jc w:val="center"/>
        <w:rPr>
          <w:rFonts w:ascii="Times New Roman" w:hAnsi="Times New Roman" w:cs="Times New Roman"/>
          <w:b/>
          <w:bCs/>
          <w:kern w:val="24"/>
          <w:sz w:val="24"/>
          <w:szCs w:val="24"/>
          <w:lang w:val="en-US"/>
        </w:rPr>
      </w:pPr>
    </w:p>
    <w:p w:rsidR="00D55472" w:rsidRPr="0063061C" w:rsidRDefault="00D55472" w:rsidP="00D55472">
      <w:pPr>
        <w:spacing w:before="100" w:after="120" w:line="240" w:lineRule="auto"/>
        <w:jc w:val="center"/>
        <w:rPr>
          <w:rFonts w:ascii="Times New Roman" w:hAnsi="Times New Roman" w:cs="Times New Roman"/>
          <w:b/>
          <w:bCs/>
          <w:kern w:val="24"/>
          <w:sz w:val="24"/>
          <w:szCs w:val="24"/>
          <w:lang w:val="en-US"/>
        </w:rPr>
      </w:pPr>
      <w:r w:rsidRPr="0063061C">
        <w:rPr>
          <w:rFonts w:ascii="Times New Roman" w:hAnsi="Times New Roman" w:cs="Times New Roman"/>
          <w:b/>
          <w:bCs/>
          <w:kern w:val="24"/>
          <w:sz w:val="24"/>
          <w:szCs w:val="24"/>
          <w:lang w:val="en-US"/>
        </w:rPr>
        <w:t xml:space="preserve">NCC’s </w:t>
      </w:r>
      <w:r>
        <w:rPr>
          <w:rFonts w:ascii="Times New Roman" w:hAnsi="Times New Roman" w:cs="Times New Roman"/>
          <w:b/>
          <w:bCs/>
          <w:kern w:val="24"/>
          <w:sz w:val="24"/>
          <w:szCs w:val="24"/>
          <w:lang w:val="en-US"/>
        </w:rPr>
        <w:t>C</w:t>
      </w:r>
      <w:r w:rsidRPr="0063061C">
        <w:rPr>
          <w:rFonts w:ascii="Times New Roman" w:hAnsi="Times New Roman" w:cs="Times New Roman"/>
          <w:b/>
          <w:bCs/>
          <w:kern w:val="24"/>
          <w:sz w:val="24"/>
          <w:szCs w:val="24"/>
          <w:lang w:val="en-US"/>
        </w:rPr>
        <w:t xml:space="preserve">ompliance </w:t>
      </w:r>
      <w:r>
        <w:rPr>
          <w:rFonts w:ascii="Times New Roman" w:hAnsi="Times New Roman" w:cs="Times New Roman"/>
          <w:b/>
          <w:bCs/>
          <w:kern w:val="24"/>
          <w:sz w:val="24"/>
          <w:szCs w:val="24"/>
          <w:lang w:val="en-US"/>
        </w:rPr>
        <w:t>with</w:t>
      </w:r>
      <w:r w:rsidRPr="0063061C">
        <w:rPr>
          <w:rFonts w:ascii="Times New Roman" w:hAnsi="Times New Roman" w:cs="Times New Roman"/>
          <w:b/>
          <w:bCs/>
          <w:kern w:val="24"/>
          <w:sz w:val="24"/>
          <w:szCs w:val="24"/>
          <w:lang w:val="en-US"/>
        </w:rPr>
        <w:t xml:space="preserve"> the </w:t>
      </w:r>
      <w:r>
        <w:rPr>
          <w:rFonts w:ascii="Times New Roman" w:hAnsi="Times New Roman" w:cs="Times New Roman"/>
          <w:b/>
          <w:bCs/>
          <w:kern w:val="24"/>
          <w:sz w:val="24"/>
          <w:szCs w:val="24"/>
          <w:lang w:val="en-US"/>
        </w:rPr>
        <w:t>I</w:t>
      </w:r>
      <w:r w:rsidRPr="0063061C">
        <w:rPr>
          <w:rFonts w:ascii="Times New Roman" w:hAnsi="Times New Roman" w:cs="Times New Roman"/>
          <w:b/>
          <w:bCs/>
          <w:kern w:val="24"/>
          <w:sz w:val="24"/>
          <w:szCs w:val="24"/>
          <w:lang w:val="en-US"/>
        </w:rPr>
        <w:t>nternational Quality Management System</w:t>
      </w:r>
    </w:p>
    <w:p w:rsidR="00D55472" w:rsidRPr="0063061C" w:rsidRDefault="00D55472" w:rsidP="00D55472">
      <w:pPr>
        <w:spacing w:after="120" w:line="240" w:lineRule="auto"/>
        <w:ind w:firstLine="567"/>
        <w:jc w:val="both"/>
        <w:rPr>
          <w:rFonts w:ascii="Times New Roman" w:eastAsia="Times New Roman" w:hAnsi="Times New Roman" w:cs="Times New Roman"/>
          <w:bCs/>
          <w:kern w:val="24"/>
          <w:sz w:val="24"/>
          <w:szCs w:val="24"/>
          <w:lang w:val="en-US" w:eastAsia="ru-RU"/>
        </w:rPr>
      </w:pPr>
      <w:r w:rsidRPr="0063061C">
        <w:rPr>
          <w:rFonts w:ascii="Times New Roman" w:eastAsia="Times New Roman" w:hAnsi="Times New Roman" w:cs="Times New Roman"/>
          <w:bCs/>
          <w:kern w:val="24"/>
          <w:sz w:val="24"/>
          <w:szCs w:val="24"/>
          <w:lang w:val="en-US" w:eastAsia="ru-RU"/>
        </w:rPr>
        <w:t>In 2012</w:t>
      </w:r>
      <w:r>
        <w:rPr>
          <w:rFonts w:ascii="Times New Roman" w:eastAsia="Times New Roman" w:hAnsi="Times New Roman" w:cs="Times New Roman"/>
          <w:bCs/>
          <w:kern w:val="24"/>
          <w:sz w:val="24"/>
          <w:szCs w:val="24"/>
          <w:lang w:val="en-US" w:eastAsia="ru-RU"/>
        </w:rPr>
        <w:t>,</w:t>
      </w:r>
      <w:r w:rsidRPr="0063061C">
        <w:rPr>
          <w:rFonts w:ascii="Times New Roman" w:hAnsi="Times New Roman" w:cs="Times New Roman"/>
          <w:b/>
          <w:bCs/>
          <w:kern w:val="24"/>
          <w:sz w:val="24"/>
          <w:szCs w:val="24"/>
          <w:lang w:val="en-US"/>
        </w:rPr>
        <w:t xml:space="preserve"> </w:t>
      </w:r>
      <w:r w:rsidR="00BB1F23" w:rsidRPr="00BB1F23">
        <w:rPr>
          <w:rFonts w:ascii="Times New Roman" w:hAnsi="Times New Roman" w:cs="Times New Roman"/>
          <w:bCs/>
          <w:kern w:val="24"/>
          <w:sz w:val="24"/>
          <w:szCs w:val="24"/>
          <w:lang w:val="en-US"/>
        </w:rPr>
        <w:t>the</w:t>
      </w:r>
      <w:r w:rsidR="00BB1F23">
        <w:rPr>
          <w:rFonts w:ascii="Times New Roman" w:hAnsi="Times New Roman" w:cs="Times New Roman"/>
          <w:b/>
          <w:bCs/>
          <w:kern w:val="24"/>
          <w:sz w:val="24"/>
          <w:szCs w:val="24"/>
          <w:lang w:val="en-US"/>
        </w:rPr>
        <w:t xml:space="preserve"> </w:t>
      </w:r>
      <w:r w:rsidRPr="0063061C">
        <w:rPr>
          <w:rFonts w:ascii="Times New Roman" w:hAnsi="Times New Roman" w:cs="Times New Roman"/>
          <w:bCs/>
          <w:kern w:val="24"/>
          <w:sz w:val="24"/>
          <w:szCs w:val="24"/>
          <w:lang w:val="en-US"/>
        </w:rPr>
        <w:t>Quality management system</w:t>
      </w:r>
      <w:r w:rsidRPr="0063061C">
        <w:rPr>
          <w:rFonts w:ascii="Times New Roman" w:eastAsia="Times New Roman" w:hAnsi="Times New Roman" w:cs="Times New Roman"/>
          <w:bCs/>
          <w:kern w:val="24"/>
          <w:sz w:val="24"/>
          <w:szCs w:val="24"/>
          <w:lang w:val="en-US" w:eastAsia="ru-RU"/>
        </w:rPr>
        <w:t xml:space="preserve"> was implemented in </w:t>
      </w:r>
      <w:r>
        <w:rPr>
          <w:rFonts w:ascii="Times New Roman" w:hAnsi="Times New Roman" w:cs="Times New Roman"/>
          <w:sz w:val="24"/>
          <w:szCs w:val="24"/>
          <w:lang w:val="en-US"/>
        </w:rPr>
        <w:t>NCC</w:t>
      </w:r>
      <w:r w:rsidRPr="0063061C">
        <w:rPr>
          <w:rFonts w:ascii="Times New Roman" w:eastAsia="Times New Roman" w:hAnsi="Times New Roman" w:cs="Times New Roman"/>
          <w:bCs/>
          <w:kern w:val="24"/>
          <w:sz w:val="24"/>
          <w:szCs w:val="24"/>
          <w:lang w:val="en-US" w:eastAsia="ru-RU"/>
        </w:rPr>
        <w:t xml:space="preserve"> according to the requirements of standard ISO 9001:2008.</w:t>
      </w:r>
      <w:r w:rsidRPr="0063061C">
        <w:rPr>
          <w:rFonts w:ascii="Times New Roman" w:eastAsia="Times New Roman" w:hAnsi="Times New Roman" w:cs="Times New Roman"/>
          <w:sz w:val="24"/>
          <w:szCs w:val="24"/>
          <w:lang w:val="en-US" w:eastAsia="ru-RU"/>
        </w:rPr>
        <w:t xml:space="preserve"> In order to demonstrate compliance, the organization which has implemented QMS according to the requirements of standard </w:t>
      </w:r>
      <w:r w:rsidRPr="0063061C">
        <w:rPr>
          <w:rFonts w:ascii="Times New Roman" w:eastAsia="Times New Roman" w:hAnsi="Times New Roman" w:cs="Times New Roman"/>
          <w:bCs/>
          <w:kern w:val="24"/>
          <w:sz w:val="24"/>
          <w:szCs w:val="24"/>
          <w:lang w:val="en-US" w:eastAsia="ru-RU"/>
        </w:rPr>
        <w:t xml:space="preserve">ISO 9001:2008, should be independently audited from time to time no less than </w:t>
      </w:r>
      <w:r>
        <w:rPr>
          <w:rFonts w:ascii="Times New Roman" w:eastAsia="Times New Roman" w:hAnsi="Times New Roman" w:cs="Times New Roman"/>
          <w:bCs/>
          <w:kern w:val="24"/>
          <w:sz w:val="24"/>
          <w:szCs w:val="24"/>
          <w:lang w:val="en-US" w:eastAsia="ru-RU"/>
        </w:rPr>
        <w:t>once</w:t>
      </w:r>
      <w:r w:rsidRPr="0063061C">
        <w:rPr>
          <w:rFonts w:ascii="Times New Roman" w:eastAsia="Times New Roman" w:hAnsi="Times New Roman" w:cs="Times New Roman"/>
          <w:bCs/>
          <w:kern w:val="24"/>
          <w:sz w:val="24"/>
          <w:szCs w:val="24"/>
          <w:lang w:val="en-US" w:eastAsia="ru-RU"/>
        </w:rPr>
        <w:t xml:space="preserve"> a year. Such audit was conducted in autumn 2013. According to the results of successful </w:t>
      </w:r>
      <w:r>
        <w:rPr>
          <w:rFonts w:ascii="Times New Roman" w:eastAsia="Times New Roman" w:hAnsi="Times New Roman" w:cs="Times New Roman"/>
          <w:bCs/>
          <w:kern w:val="24"/>
          <w:sz w:val="24"/>
          <w:szCs w:val="24"/>
          <w:lang w:val="en-US" w:eastAsia="ru-RU"/>
        </w:rPr>
        <w:t xml:space="preserve">audit </w:t>
      </w:r>
      <w:r w:rsidRPr="0063061C">
        <w:rPr>
          <w:rFonts w:ascii="Times New Roman" w:eastAsia="Times New Roman" w:hAnsi="Times New Roman" w:cs="Times New Roman"/>
          <w:bCs/>
          <w:kern w:val="24"/>
          <w:sz w:val="24"/>
          <w:szCs w:val="24"/>
          <w:lang w:val="en-US" w:eastAsia="ru-RU"/>
        </w:rPr>
        <w:t xml:space="preserve">conduction and confirmation of the compliance </w:t>
      </w:r>
      <w:r>
        <w:rPr>
          <w:rFonts w:ascii="Times New Roman" w:eastAsia="Times New Roman" w:hAnsi="Times New Roman" w:cs="Times New Roman"/>
          <w:bCs/>
          <w:kern w:val="24"/>
          <w:sz w:val="24"/>
          <w:szCs w:val="24"/>
          <w:lang w:val="en-US" w:eastAsia="ru-RU"/>
        </w:rPr>
        <w:t xml:space="preserve">with </w:t>
      </w:r>
      <w:r w:rsidRPr="0063061C">
        <w:rPr>
          <w:rFonts w:ascii="Times New Roman" w:eastAsia="Times New Roman" w:hAnsi="Times New Roman" w:cs="Times New Roman"/>
          <w:bCs/>
          <w:kern w:val="24"/>
          <w:sz w:val="24"/>
          <w:szCs w:val="24"/>
          <w:lang w:val="en-US" w:eastAsia="ru-RU"/>
        </w:rPr>
        <w:t xml:space="preserve"> the requirements of international standard ISO 9001:2008 the main conclusion to the managing board was </w:t>
      </w:r>
      <w:r>
        <w:rPr>
          <w:rFonts w:ascii="Times New Roman" w:eastAsia="Times New Roman" w:hAnsi="Times New Roman" w:cs="Times New Roman"/>
          <w:bCs/>
          <w:kern w:val="24"/>
          <w:sz w:val="24"/>
          <w:szCs w:val="24"/>
          <w:lang w:val="en-US" w:eastAsia="ru-RU"/>
        </w:rPr>
        <w:t xml:space="preserve">as follows: </w:t>
      </w:r>
      <w:r w:rsidRPr="0063061C">
        <w:rPr>
          <w:rFonts w:ascii="Times New Roman" w:eastAsia="Times New Roman" w:hAnsi="Times New Roman" w:cs="Times New Roman"/>
          <w:bCs/>
          <w:kern w:val="24"/>
          <w:sz w:val="24"/>
          <w:szCs w:val="24"/>
          <w:lang w:val="en-US" w:eastAsia="ru-RU"/>
        </w:rPr>
        <w:t>“Evolutiona</w:t>
      </w:r>
      <w:r>
        <w:rPr>
          <w:rFonts w:ascii="Times New Roman" w:eastAsia="Times New Roman" w:hAnsi="Times New Roman" w:cs="Times New Roman"/>
          <w:bCs/>
          <w:kern w:val="24"/>
          <w:sz w:val="24"/>
          <w:szCs w:val="24"/>
          <w:lang w:val="en-US" w:eastAsia="ru-RU"/>
        </w:rPr>
        <w:t>ry</w:t>
      </w:r>
      <w:r w:rsidRPr="0063061C">
        <w:rPr>
          <w:rFonts w:ascii="Times New Roman" w:eastAsia="Times New Roman" w:hAnsi="Times New Roman" w:cs="Times New Roman"/>
          <w:bCs/>
          <w:kern w:val="24"/>
          <w:sz w:val="24"/>
          <w:szCs w:val="24"/>
          <w:lang w:val="en-US" w:eastAsia="ru-RU"/>
        </w:rPr>
        <w:t xml:space="preserve"> development of company’s QMS with consecutive </w:t>
      </w:r>
      <w:r>
        <w:rPr>
          <w:rFonts w:ascii="Times New Roman" w:eastAsia="Times New Roman" w:hAnsi="Times New Roman" w:cs="Times New Roman"/>
          <w:bCs/>
          <w:kern w:val="24"/>
          <w:sz w:val="24"/>
          <w:szCs w:val="24"/>
          <w:lang w:val="en-US" w:eastAsia="ru-RU"/>
        </w:rPr>
        <w:t xml:space="preserve">management tools </w:t>
      </w:r>
      <w:r w:rsidRPr="0063061C">
        <w:rPr>
          <w:rFonts w:ascii="Times New Roman" w:eastAsia="Times New Roman" w:hAnsi="Times New Roman" w:cs="Times New Roman"/>
          <w:bCs/>
          <w:kern w:val="24"/>
          <w:sz w:val="24"/>
          <w:szCs w:val="24"/>
          <w:lang w:val="en-US" w:eastAsia="ru-RU"/>
        </w:rPr>
        <w:t>improvement and adaptation".</w:t>
      </w:r>
    </w:p>
    <w:p w:rsidR="00D55472" w:rsidRPr="0063061C" w:rsidRDefault="00D55472" w:rsidP="00D55472">
      <w:pPr>
        <w:spacing w:after="120" w:line="240" w:lineRule="auto"/>
        <w:ind w:firstLine="567"/>
        <w:jc w:val="both"/>
        <w:rPr>
          <w:rFonts w:ascii="Times New Roman" w:eastAsia="Times New Roman" w:hAnsi="Times New Roman" w:cs="Times New Roman"/>
          <w:bCs/>
          <w:kern w:val="24"/>
          <w:sz w:val="24"/>
          <w:szCs w:val="24"/>
          <w:lang w:val="en-US" w:eastAsia="ru-RU"/>
        </w:rPr>
      </w:pPr>
      <w:r w:rsidRPr="0063061C">
        <w:rPr>
          <w:rFonts w:ascii="Times New Roman" w:eastAsia="Times New Roman" w:hAnsi="Times New Roman" w:cs="Times New Roman"/>
          <w:bCs/>
          <w:kern w:val="24"/>
          <w:sz w:val="24"/>
          <w:szCs w:val="24"/>
          <w:lang w:val="en-US" w:eastAsia="ru-RU"/>
        </w:rPr>
        <w:t>NCC annually reports to the Supervisory Board on the results of quality management system certification according to ISO 9001:2008, which is aimed at improv</w:t>
      </w:r>
      <w:r>
        <w:rPr>
          <w:rFonts w:ascii="Times New Roman" w:eastAsia="Times New Roman" w:hAnsi="Times New Roman" w:cs="Times New Roman"/>
          <w:bCs/>
          <w:kern w:val="24"/>
          <w:sz w:val="24"/>
          <w:szCs w:val="24"/>
          <w:lang w:val="en-US" w:eastAsia="ru-RU"/>
        </w:rPr>
        <w:t>ing</w:t>
      </w:r>
      <w:r w:rsidRPr="0063061C">
        <w:rPr>
          <w:rFonts w:ascii="Times New Roman" w:eastAsia="Times New Roman" w:hAnsi="Times New Roman" w:cs="Times New Roman"/>
          <w:bCs/>
          <w:kern w:val="24"/>
          <w:sz w:val="24"/>
          <w:szCs w:val="24"/>
          <w:lang w:val="en-US" w:eastAsia="ru-RU"/>
        </w:rPr>
        <w:t xml:space="preserve"> corporate management quality and is performed also in terms of measures taken to maintain the status of </w:t>
      </w:r>
      <w:r>
        <w:rPr>
          <w:rFonts w:ascii="Times New Roman" w:eastAsia="Times New Roman" w:hAnsi="Times New Roman" w:cs="Times New Roman"/>
          <w:bCs/>
          <w:kern w:val="24"/>
          <w:sz w:val="24"/>
          <w:szCs w:val="24"/>
          <w:lang w:val="en-US" w:eastAsia="ru-RU"/>
        </w:rPr>
        <w:t>qualifying</w:t>
      </w:r>
      <w:r w:rsidRPr="0063061C">
        <w:rPr>
          <w:rFonts w:ascii="Times New Roman" w:eastAsia="Times New Roman" w:hAnsi="Times New Roman" w:cs="Times New Roman"/>
          <w:bCs/>
          <w:kern w:val="24"/>
          <w:sz w:val="24"/>
          <w:szCs w:val="24"/>
          <w:lang w:val="en-US" w:eastAsia="ru-RU"/>
        </w:rPr>
        <w:t xml:space="preserve"> CCP.</w:t>
      </w:r>
    </w:p>
    <w:p w:rsidR="00D55472" w:rsidRPr="0063061C" w:rsidRDefault="00BB1F23" w:rsidP="00D55472">
      <w:pPr>
        <w:spacing w:after="120" w:line="240" w:lineRule="auto"/>
        <w:ind w:firstLine="567"/>
        <w:jc w:val="both"/>
        <w:rPr>
          <w:rFonts w:ascii="Times New Roman" w:eastAsia="Times New Roman" w:hAnsi="Times New Roman" w:cs="Times New Roman"/>
          <w:bCs/>
          <w:kern w:val="24"/>
          <w:sz w:val="24"/>
          <w:szCs w:val="24"/>
          <w:lang w:val="en-US" w:eastAsia="ru-RU"/>
        </w:rPr>
      </w:pPr>
      <w:r>
        <w:rPr>
          <w:rFonts w:ascii="Times New Roman" w:eastAsia="Times New Roman" w:hAnsi="Times New Roman" w:cs="Times New Roman"/>
          <w:bCs/>
          <w:kern w:val="24"/>
          <w:sz w:val="24"/>
          <w:szCs w:val="24"/>
          <w:lang w:val="en-US" w:eastAsia="ru-RU"/>
        </w:rPr>
        <w:t>The a</w:t>
      </w:r>
      <w:r w:rsidR="00D55472" w:rsidRPr="0063061C">
        <w:rPr>
          <w:rFonts w:ascii="Times New Roman" w:eastAsia="Times New Roman" w:hAnsi="Times New Roman" w:cs="Times New Roman"/>
          <w:bCs/>
          <w:kern w:val="24"/>
          <w:sz w:val="24"/>
          <w:szCs w:val="24"/>
          <w:lang w:val="en-US" w:eastAsia="ru-RU"/>
        </w:rPr>
        <w:t xml:space="preserve">nnual </w:t>
      </w:r>
      <w:r w:rsidR="00D55472">
        <w:rPr>
          <w:rFonts w:ascii="Times New Roman" w:eastAsia="Times New Roman" w:hAnsi="Times New Roman" w:cs="Times New Roman"/>
          <w:bCs/>
          <w:kern w:val="24"/>
          <w:sz w:val="24"/>
          <w:szCs w:val="24"/>
          <w:lang w:val="en-US" w:eastAsia="ru-RU"/>
        </w:rPr>
        <w:t>activities</w:t>
      </w:r>
      <w:r w:rsidR="00D55472" w:rsidRPr="0063061C">
        <w:rPr>
          <w:rFonts w:ascii="Times New Roman" w:eastAsia="Times New Roman" w:hAnsi="Times New Roman" w:cs="Times New Roman"/>
          <w:bCs/>
          <w:kern w:val="24"/>
          <w:sz w:val="24"/>
          <w:szCs w:val="24"/>
          <w:lang w:val="en-US" w:eastAsia="ru-RU"/>
        </w:rPr>
        <w:t xml:space="preserve"> program</w:t>
      </w:r>
      <w:r w:rsidR="00D55472">
        <w:rPr>
          <w:rFonts w:ascii="Times New Roman" w:eastAsia="Times New Roman" w:hAnsi="Times New Roman" w:cs="Times New Roman"/>
          <w:bCs/>
          <w:kern w:val="24"/>
          <w:sz w:val="24"/>
          <w:szCs w:val="24"/>
          <w:lang w:val="en-US" w:eastAsia="ru-RU"/>
        </w:rPr>
        <w:t xml:space="preserve"> implementation</w:t>
      </w:r>
      <w:r w:rsidR="00D55472" w:rsidRPr="0063061C">
        <w:rPr>
          <w:rFonts w:ascii="Times New Roman" w:eastAsia="Times New Roman" w:hAnsi="Times New Roman" w:cs="Times New Roman"/>
          <w:bCs/>
          <w:kern w:val="24"/>
          <w:sz w:val="24"/>
          <w:szCs w:val="24"/>
          <w:lang w:val="en-US" w:eastAsia="ru-RU"/>
        </w:rPr>
        <w:t xml:space="preserve">, </w:t>
      </w:r>
      <w:r w:rsidR="00D55472">
        <w:rPr>
          <w:rFonts w:ascii="Times New Roman" w:eastAsia="Times New Roman" w:hAnsi="Times New Roman" w:cs="Times New Roman"/>
          <w:bCs/>
          <w:kern w:val="24"/>
          <w:sz w:val="24"/>
          <w:szCs w:val="24"/>
          <w:lang w:val="en-US" w:eastAsia="ru-RU"/>
        </w:rPr>
        <w:t>designed to sustain the level</w:t>
      </w:r>
      <w:r w:rsidR="00D55472" w:rsidRPr="0063061C">
        <w:rPr>
          <w:rFonts w:ascii="Times New Roman" w:eastAsia="Times New Roman" w:hAnsi="Times New Roman" w:cs="Times New Roman"/>
          <w:bCs/>
          <w:kern w:val="24"/>
          <w:sz w:val="24"/>
          <w:szCs w:val="24"/>
          <w:lang w:val="en-US" w:eastAsia="ru-RU"/>
        </w:rPr>
        <w:t xml:space="preserve"> </w:t>
      </w:r>
      <w:r w:rsidR="00D55472">
        <w:rPr>
          <w:rFonts w:ascii="Times New Roman" w:eastAsia="Times New Roman" w:hAnsi="Times New Roman" w:cs="Times New Roman"/>
          <w:bCs/>
          <w:kern w:val="24"/>
          <w:sz w:val="24"/>
          <w:szCs w:val="24"/>
          <w:lang w:val="en-US" w:eastAsia="ru-RU"/>
        </w:rPr>
        <w:t xml:space="preserve">of </w:t>
      </w:r>
      <w:r w:rsidR="00D55472" w:rsidRPr="0063061C">
        <w:rPr>
          <w:rFonts w:ascii="Times New Roman" w:eastAsia="Times New Roman" w:hAnsi="Times New Roman" w:cs="Times New Roman"/>
          <w:bCs/>
          <w:kern w:val="24"/>
          <w:sz w:val="24"/>
          <w:szCs w:val="24"/>
          <w:lang w:val="en-US" w:eastAsia="ru-RU"/>
        </w:rPr>
        <w:t xml:space="preserve">the Quality management system compliance </w:t>
      </w:r>
      <w:r w:rsidR="00D55472">
        <w:rPr>
          <w:rFonts w:ascii="Times New Roman" w:eastAsia="Times New Roman" w:hAnsi="Times New Roman" w:cs="Times New Roman"/>
          <w:bCs/>
          <w:kern w:val="24"/>
          <w:sz w:val="24"/>
          <w:szCs w:val="24"/>
          <w:lang w:val="en-US" w:eastAsia="ru-RU"/>
        </w:rPr>
        <w:t>with</w:t>
      </w:r>
      <w:r w:rsidR="00D55472" w:rsidRPr="0063061C">
        <w:rPr>
          <w:rFonts w:ascii="Times New Roman" w:eastAsia="Times New Roman" w:hAnsi="Times New Roman" w:cs="Times New Roman"/>
          <w:bCs/>
          <w:kern w:val="24"/>
          <w:sz w:val="24"/>
          <w:szCs w:val="24"/>
          <w:lang w:val="en-US" w:eastAsia="ru-RU"/>
        </w:rPr>
        <w:t xml:space="preserve"> the requirements of Standard ISO 9001:2008, is an important additional element of risk management system</w:t>
      </w:r>
      <w:proofErr w:type="gramStart"/>
      <w:r w:rsidR="00D55472" w:rsidRPr="0063061C">
        <w:rPr>
          <w:rFonts w:ascii="Times New Roman" w:eastAsia="Times New Roman" w:hAnsi="Times New Roman" w:cs="Times New Roman"/>
          <w:bCs/>
          <w:kern w:val="24"/>
          <w:sz w:val="24"/>
          <w:szCs w:val="24"/>
          <w:lang w:val="en-US" w:eastAsia="ru-RU"/>
        </w:rPr>
        <w:t xml:space="preserve">, </w:t>
      </w:r>
      <w:r w:rsidR="00D55472">
        <w:rPr>
          <w:rFonts w:ascii="Times New Roman" w:eastAsia="Times New Roman" w:hAnsi="Times New Roman" w:cs="Times New Roman"/>
          <w:bCs/>
          <w:kern w:val="24"/>
          <w:sz w:val="24"/>
          <w:szCs w:val="24"/>
          <w:lang w:val="en-US" w:eastAsia="ru-RU"/>
        </w:rPr>
        <w:t xml:space="preserve"> aimed</w:t>
      </w:r>
      <w:proofErr w:type="gramEnd"/>
      <w:r w:rsidR="00D55472">
        <w:rPr>
          <w:rFonts w:ascii="Times New Roman" w:eastAsia="Times New Roman" w:hAnsi="Times New Roman" w:cs="Times New Roman"/>
          <w:bCs/>
          <w:kern w:val="24"/>
          <w:sz w:val="24"/>
          <w:szCs w:val="24"/>
          <w:lang w:val="en-US" w:eastAsia="ru-RU"/>
        </w:rPr>
        <w:t xml:space="preserve"> at </w:t>
      </w:r>
      <w:r w:rsidR="00D55472" w:rsidRPr="0063061C">
        <w:rPr>
          <w:rFonts w:ascii="Times New Roman" w:eastAsia="Times New Roman" w:hAnsi="Times New Roman" w:cs="Times New Roman"/>
          <w:bCs/>
          <w:kern w:val="24"/>
          <w:sz w:val="24"/>
          <w:szCs w:val="24"/>
          <w:lang w:val="en-US" w:eastAsia="ru-RU"/>
        </w:rPr>
        <w:t xml:space="preserve"> </w:t>
      </w:r>
      <w:r w:rsidR="00D55472">
        <w:rPr>
          <w:rFonts w:ascii="Times New Roman" w:eastAsia="Times New Roman" w:hAnsi="Times New Roman" w:cs="Times New Roman"/>
          <w:bCs/>
          <w:kern w:val="24"/>
          <w:sz w:val="24"/>
          <w:szCs w:val="24"/>
          <w:lang w:val="en-US" w:eastAsia="ru-RU"/>
        </w:rPr>
        <w:t xml:space="preserve">increasing  the </w:t>
      </w:r>
      <w:r w:rsidR="00D55472" w:rsidRPr="0063061C">
        <w:rPr>
          <w:rFonts w:ascii="Times New Roman" w:eastAsia="Times New Roman" w:hAnsi="Times New Roman" w:cs="Times New Roman"/>
          <w:bCs/>
          <w:kern w:val="24"/>
          <w:sz w:val="24"/>
          <w:szCs w:val="24"/>
          <w:lang w:val="en-US" w:eastAsia="ru-RU"/>
        </w:rPr>
        <w:t xml:space="preserve"> maturity and </w:t>
      </w:r>
      <w:r w:rsidR="00D55472">
        <w:rPr>
          <w:rFonts w:ascii="Times New Roman" w:eastAsia="Times New Roman" w:hAnsi="Times New Roman" w:cs="Times New Roman"/>
          <w:bCs/>
          <w:kern w:val="24"/>
          <w:sz w:val="24"/>
          <w:szCs w:val="24"/>
          <w:lang w:val="en-US" w:eastAsia="ru-RU"/>
        </w:rPr>
        <w:t>c</w:t>
      </w:r>
      <w:r w:rsidR="00D55472" w:rsidRPr="0063061C">
        <w:rPr>
          <w:rFonts w:ascii="Times New Roman" w:eastAsia="Times New Roman" w:hAnsi="Times New Roman" w:cs="Times New Roman"/>
          <w:bCs/>
          <w:kern w:val="24"/>
          <w:sz w:val="24"/>
          <w:szCs w:val="24"/>
          <w:lang w:val="en-US" w:eastAsia="ru-RU"/>
        </w:rPr>
        <w:t>entral counterparty management quality.</w:t>
      </w:r>
    </w:p>
    <w:p w:rsidR="00D55472" w:rsidRPr="0071494F" w:rsidRDefault="00D55472" w:rsidP="00D5547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sz w:val="28"/>
          <w:szCs w:val="28"/>
          <w:lang w:val="en-US" w:eastAsia="ru-RU"/>
        </w:rPr>
      </w:pPr>
    </w:p>
    <w:p w:rsidR="00D55472" w:rsidRPr="0071494F" w:rsidRDefault="00D55472" w:rsidP="00D55472">
      <w:pPr>
        <w:widowControl w:val="0"/>
        <w:overflowPunct w:val="0"/>
        <w:autoSpaceDE w:val="0"/>
        <w:autoSpaceDN w:val="0"/>
        <w:adjustRightInd w:val="0"/>
        <w:spacing w:after="0" w:line="240" w:lineRule="auto"/>
        <w:ind w:firstLine="360"/>
        <w:jc w:val="both"/>
        <w:textAlignment w:val="baseline"/>
        <w:rPr>
          <w:rFonts w:ascii="Arial" w:eastAsia="Times New Roman" w:hAnsi="Arial" w:cs="Arial"/>
          <w:sz w:val="28"/>
          <w:szCs w:val="28"/>
          <w:lang w:val="en-US" w:eastAsia="ru-RU"/>
        </w:rPr>
      </w:pPr>
    </w:p>
    <w:p w:rsidR="00D55472" w:rsidRPr="00C923A9" w:rsidRDefault="00D55472" w:rsidP="00D55472">
      <w:pPr>
        <w:rPr>
          <w:lang w:val="en-US"/>
        </w:rPr>
      </w:pPr>
    </w:p>
    <w:p w:rsidR="00D55472" w:rsidRPr="00D55472" w:rsidRDefault="00D55472" w:rsidP="009B23BD">
      <w:pPr>
        <w:pStyle w:val="af0"/>
        <w:keepNext/>
        <w:widowControl w:val="0"/>
        <w:overflowPunct w:val="0"/>
        <w:autoSpaceDE w:val="0"/>
        <w:autoSpaceDN w:val="0"/>
        <w:adjustRightInd w:val="0"/>
        <w:spacing w:before="100" w:after="120" w:line="240" w:lineRule="auto"/>
        <w:ind w:left="360"/>
        <w:textAlignment w:val="baseline"/>
        <w:outlineLvl w:val="0"/>
        <w:rPr>
          <w:rFonts w:ascii="Times New Roman" w:eastAsia="Times New Roman" w:hAnsi="Times New Roman" w:cs="Times New Roman"/>
          <w:b/>
          <w:bCs/>
          <w:kern w:val="32"/>
          <w:sz w:val="28"/>
          <w:szCs w:val="28"/>
          <w:lang w:val="en-US" w:eastAsia="ru-RU"/>
        </w:rPr>
      </w:pPr>
    </w:p>
    <w:p w:rsidR="00E735BA" w:rsidRPr="00D55472" w:rsidRDefault="00E735BA" w:rsidP="009B23BD">
      <w:pPr>
        <w:pStyle w:val="af0"/>
        <w:keepNext/>
        <w:widowControl w:val="0"/>
        <w:overflowPunct w:val="0"/>
        <w:autoSpaceDE w:val="0"/>
        <w:autoSpaceDN w:val="0"/>
        <w:adjustRightInd w:val="0"/>
        <w:spacing w:before="100" w:after="120" w:line="240" w:lineRule="auto"/>
        <w:ind w:left="360"/>
        <w:textAlignment w:val="baseline"/>
        <w:outlineLvl w:val="0"/>
        <w:rPr>
          <w:rFonts w:ascii="Times New Roman" w:eastAsia="Times New Roman" w:hAnsi="Times New Roman" w:cs="Times New Roman"/>
          <w:b/>
          <w:bCs/>
          <w:kern w:val="32"/>
          <w:sz w:val="28"/>
          <w:szCs w:val="28"/>
          <w:lang w:val="en-US" w:eastAsia="ru-RU"/>
        </w:rPr>
      </w:pPr>
    </w:p>
    <w:p w:rsidR="00E735BA" w:rsidRPr="00E735BA" w:rsidRDefault="00E735BA" w:rsidP="00E735BA">
      <w:pPr>
        <w:autoSpaceDE w:val="0"/>
        <w:autoSpaceDN w:val="0"/>
        <w:adjustRightInd w:val="0"/>
        <w:spacing w:before="100" w:after="120" w:line="240" w:lineRule="auto"/>
        <w:jc w:val="center"/>
        <w:rPr>
          <w:rFonts w:ascii="Times New Roman" w:hAnsi="Times New Roman" w:cs="Times New Roman"/>
          <w:b/>
          <w:sz w:val="24"/>
          <w:szCs w:val="24"/>
          <w:lang w:val="en-US"/>
        </w:rPr>
      </w:pPr>
      <w:r w:rsidRPr="00E735BA">
        <w:rPr>
          <w:rFonts w:ascii="Times New Roman" w:hAnsi="Times New Roman" w:cs="Times New Roman"/>
          <w:b/>
          <w:sz w:val="24"/>
          <w:szCs w:val="24"/>
          <w:lang w:val="en-US"/>
        </w:rPr>
        <w:t>Operati</w:t>
      </w:r>
      <w:r w:rsidR="003350B2">
        <w:rPr>
          <w:rFonts w:ascii="Times New Roman" w:hAnsi="Times New Roman" w:cs="Times New Roman"/>
          <w:b/>
          <w:sz w:val="24"/>
          <w:szCs w:val="24"/>
          <w:lang w:val="en-US"/>
        </w:rPr>
        <w:t>onal</w:t>
      </w:r>
      <w:r w:rsidRPr="00E735BA">
        <w:rPr>
          <w:rFonts w:ascii="Times New Roman" w:hAnsi="Times New Roman" w:cs="Times New Roman"/>
          <w:b/>
          <w:sz w:val="24"/>
          <w:szCs w:val="24"/>
          <w:lang w:val="en-US"/>
        </w:rPr>
        <w:t xml:space="preserve"> risk management</w:t>
      </w:r>
    </w:p>
    <w:p w:rsidR="00E735BA" w:rsidRPr="00E735BA" w:rsidRDefault="00E735BA" w:rsidP="00E735BA">
      <w:pPr>
        <w:autoSpaceDE w:val="0"/>
        <w:autoSpaceDN w:val="0"/>
        <w:adjustRightInd w:val="0"/>
        <w:spacing w:after="120" w:line="240" w:lineRule="auto"/>
        <w:ind w:firstLine="567"/>
        <w:jc w:val="both"/>
        <w:rPr>
          <w:rFonts w:ascii="Times New Roman" w:hAnsi="Times New Roman" w:cs="Times New Roman"/>
          <w:sz w:val="24"/>
          <w:szCs w:val="24"/>
          <w:lang w:val="en-US"/>
        </w:rPr>
      </w:pPr>
      <w:r w:rsidRPr="00E735BA">
        <w:rPr>
          <w:rFonts w:ascii="Times New Roman" w:hAnsi="Times New Roman" w:cs="Times New Roman"/>
          <w:sz w:val="24"/>
          <w:szCs w:val="24"/>
          <w:lang w:val="en-US"/>
        </w:rPr>
        <w:t xml:space="preserve">The provisioning of NCC’s business continuity, including </w:t>
      </w:r>
      <w:r w:rsidR="00495460">
        <w:rPr>
          <w:rFonts w:ascii="Times New Roman" w:hAnsi="Times New Roman" w:cs="Times New Roman"/>
          <w:sz w:val="24"/>
          <w:szCs w:val="24"/>
          <w:lang w:val="en-US"/>
        </w:rPr>
        <w:t xml:space="preserve">an </w:t>
      </w:r>
      <w:r w:rsidRPr="00E735BA">
        <w:rPr>
          <w:rFonts w:ascii="Times New Roman" w:hAnsi="Times New Roman" w:cs="Times New Roman"/>
          <w:sz w:val="24"/>
          <w:szCs w:val="24"/>
          <w:lang w:val="en-US"/>
        </w:rPr>
        <w:t xml:space="preserve">uninterrupted operation of its own systems and processes, was one of the main priorities in </w:t>
      </w:r>
      <w:r w:rsidR="00495460">
        <w:rPr>
          <w:rFonts w:ascii="Times New Roman" w:hAnsi="Times New Roman" w:cs="Times New Roman"/>
          <w:sz w:val="24"/>
          <w:szCs w:val="24"/>
          <w:lang w:val="en-US"/>
        </w:rPr>
        <w:t xml:space="preserve">the </w:t>
      </w:r>
      <w:r w:rsidRPr="00E735BA">
        <w:rPr>
          <w:rFonts w:ascii="Times New Roman" w:hAnsi="Times New Roman" w:cs="Times New Roman"/>
          <w:sz w:val="24"/>
          <w:szCs w:val="24"/>
          <w:lang w:val="en-US"/>
        </w:rPr>
        <w:t>Bank’s activity as</w:t>
      </w:r>
      <w:r w:rsidR="003350B2" w:rsidRPr="00D55472">
        <w:rPr>
          <w:rFonts w:ascii="Times New Roman" w:hAnsi="Times New Roman" w:cs="Times New Roman"/>
          <w:sz w:val="24"/>
          <w:szCs w:val="24"/>
          <w:lang w:val="en-US"/>
        </w:rPr>
        <w:t xml:space="preserve"> </w:t>
      </w:r>
      <w:r w:rsidR="003350B2">
        <w:rPr>
          <w:rFonts w:ascii="Times New Roman" w:hAnsi="Times New Roman" w:cs="Times New Roman"/>
          <w:sz w:val="24"/>
          <w:szCs w:val="24"/>
          <w:lang w:val="en-US"/>
        </w:rPr>
        <w:t>an</w:t>
      </w:r>
      <w:r w:rsidRPr="00E735BA">
        <w:rPr>
          <w:rFonts w:ascii="Times New Roman" w:hAnsi="Times New Roman" w:cs="Times New Roman"/>
          <w:sz w:val="24"/>
          <w:szCs w:val="24"/>
          <w:lang w:val="en-US"/>
        </w:rPr>
        <w:t xml:space="preserve"> infrastructural institution playing an important stabilizing role in the financial market.</w:t>
      </w:r>
    </w:p>
    <w:p w:rsidR="00E735BA" w:rsidRPr="00E735BA" w:rsidRDefault="00E735BA" w:rsidP="00E735BA">
      <w:pPr>
        <w:autoSpaceDE w:val="0"/>
        <w:autoSpaceDN w:val="0"/>
        <w:adjustRightInd w:val="0"/>
        <w:spacing w:after="120" w:line="240" w:lineRule="auto"/>
        <w:ind w:firstLine="567"/>
        <w:jc w:val="both"/>
        <w:rPr>
          <w:rFonts w:ascii="Times New Roman" w:hAnsi="Times New Roman" w:cs="Times New Roman"/>
          <w:sz w:val="24"/>
          <w:szCs w:val="24"/>
          <w:lang w:val="en-US"/>
        </w:rPr>
      </w:pPr>
      <w:r w:rsidRPr="00E735BA">
        <w:rPr>
          <w:rFonts w:ascii="Times New Roman" w:hAnsi="Times New Roman" w:cs="Times New Roman"/>
          <w:sz w:val="24"/>
          <w:szCs w:val="24"/>
          <w:lang w:val="en-US"/>
        </w:rPr>
        <w:t xml:space="preserve">This task </w:t>
      </w:r>
      <w:r w:rsidR="003350B2">
        <w:rPr>
          <w:rFonts w:ascii="Times New Roman" w:hAnsi="Times New Roman" w:cs="Times New Roman"/>
          <w:sz w:val="24"/>
          <w:szCs w:val="24"/>
          <w:lang w:val="en-US"/>
        </w:rPr>
        <w:t xml:space="preserve">to </w:t>
      </w:r>
      <w:r w:rsidR="001A4A0F">
        <w:rPr>
          <w:rFonts w:ascii="Times New Roman" w:hAnsi="Times New Roman" w:cs="Times New Roman"/>
          <w:sz w:val="24"/>
          <w:szCs w:val="24"/>
          <w:lang w:val="en-US"/>
        </w:rPr>
        <w:t xml:space="preserve">a greater </w:t>
      </w:r>
      <w:r w:rsidR="003350B2">
        <w:rPr>
          <w:rFonts w:ascii="Times New Roman" w:hAnsi="Times New Roman" w:cs="Times New Roman"/>
          <w:sz w:val="24"/>
          <w:szCs w:val="24"/>
          <w:lang w:val="en-US"/>
        </w:rPr>
        <w:t xml:space="preserve"> extend </w:t>
      </w:r>
      <w:r w:rsidRPr="00E735BA">
        <w:rPr>
          <w:rFonts w:ascii="Times New Roman" w:hAnsi="Times New Roman" w:cs="Times New Roman"/>
          <w:sz w:val="24"/>
          <w:szCs w:val="24"/>
          <w:lang w:val="en-US"/>
        </w:rPr>
        <w:t xml:space="preserve">was solved by </w:t>
      </w:r>
      <w:r w:rsidR="003350B2">
        <w:rPr>
          <w:rFonts w:ascii="Times New Roman" w:hAnsi="Times New Roman" w:cs="Times New Roman"/>
          <w:sz w:val="24"/>
          <w:szCs w:val="24"/>
          <w:lang w:val="en-US"/>
        </w:rPr>
        <w:t xml:space="preserve">an </w:t>
      </w:r>
      <w:r w:rsidRPr="00E735BA">
        <w:rPr>
          <w:rFonts w:ascii="Times New Roman" w:hAnsi="Times New Roman" w:cs="Times New Roman"/>
          <w:sz w:val="24"/>
          <w:szCs w:val="24"/>
          <w:lang w:val="en-US"/>
        </w:rPr>
        <w:t xml:space="preserve">effective performance of Bank’s operational risks management system, which is provided by its multilevel structure, transparency of functions and managing bodies, </w:t>
      </w:r>
      <w:r w:rsidR="007B2791">
        <w:rPr>
          <w:rFonts w:ascii="Times New Roman" w:hAnsi="Times New Roman" w:cs="Times New Roman"/>
          <w:sz w:val="24"/>
          <w:szCs w:val="24"/>
          <w:lang w:val="en-US"/>
        </w:rPr>
        <w:t xml:space="preserve">relevant </w:t>
      </w:r>
      <w:r w:rsidRPr="00E735BA">
        <w:rPr>
          <w:rFonts w:ascii="Times New Roman" w:hAnsi="Times New Roman" w:cs="Times New Roman"/>
          <w:sz w:val="24"/>
          <w:szCs w:val="24"/>
          <w:lang w:val="en-US"/>
        </w:rPr>
        <w:t xml:space="preserve"> departments, which corresponds fully to the best world management experiences.</w:t>
      </w:r>
    </w:p>
    <w:p w:rsidR="00E735BA" w:rsidRPr="00E735BA" w:rsidRDefault="00E735BA" w:rsidP="00E735BA">
      <w:pPr>
        <w:autoSpaceDE w:val="0"/>
        <w:autoSpaceDN w:val="0"/>
        <w:adjustRightInd w:val="0"/>
        <w:spacing w:after="120" w:line="240" w:lineRule="auto"/>
        <w:ind w:firstLine="567"/>
        <w:jc w:val="both"/>
        <w:rPr>
          <w:rFonts w:ascii="Times New Roman" w:hAnsi="Times New Roman" w:cs="Times New Roman"/>
          <w:sz w:val="24"/>
          <w:szCs w:val="24"/>
          <w:lang w:val="en-US"/>
        </w:rPr>
      </w:pPr>
      <w:r w:rsidRPr="00E735BA">
        <w:rPr>
          <w:rFonts w:ascii="Times New Roman" w:hAnsi="Times New Roman" w:cs="Times New Roman"/>
          <w:sz w:val="24"/>
          <w:szCs w:val="24"/>
          <w:lang w:val="en-US"/>
        </w:rPr>
        <w:t>The structure of risk management system comprises</w:t>
      </w:r>
      <w:r w:rsidR="00495460">
        <w:rPr>
          <w:rFonts w:ascii="Times New Roman" w:hAnsi="Times New Roman" w:cs="Times New Roman"/>
          <w:sz w:val="24"/>
          <w:szCs w:val="24"/>
          <w:lang w:val="en-US"/>
        </w:rPr>
        <w:t xml:space="preserve"> </w:t>
      </w:r>
      <w:r w:rsidRPr="00E735BA">
        <w:rPr>
          <w:rFonts w:ascii="Times New Roman" w:hAnsi="Times New Roman" w:cs="Times New Roman"/>
          <w:sz w:val="24"/>
          <w:szCs w:val="24"/>
          <w:lang w:val="en-US"/>
        </w:rPr>
        <w:t xml:space="preserve">Supervisory Board, individual and collegiate executive boards, operational risk management and company’s employees as well. Supervisory </w:t>
      </w:r>
      <w:r w:rsidR="00495460">
        <w:rPr>
          <w:rFonts w:ascii="Times New Roman" w:hAnsi="Times New Roman" w:cs="Times New Roman"/>
          <w:sz w:val="24"/>
          <w:szCs w:val="24"/>
          <w:lang w:val="en-US"/>
        </w:rPr>
        <w:t>B</w:t>
      </w:r>
      <w:r w:rsidRPr="00E735BA">
        <w:rPr>
          <w:rFonts w:ascii="Times New Roman" w:hAnsi="Times New Roman" w:cs="Times New Roman"/>
          <w:sz w:val="24"/>
          <w:szCs w:val="24"/>
          <w:lang w:val="en-US"/>
        </w:rPr>
        <w:t xml:space="preserve">oard determines the key principles of operational risks management, including the integration of risk management system into managerial decision making process and the involvement of all the personnel into risk management process. Executive boards provide management structure with uncontroversial responsibility fields, </w:t>
      </w:r>
      <w:r w:rsidR="007B2791">
        <w:rPr>
          <w:rFonts w:ascii="Times New Roman" w:hAnsi="Times New Roman" w:cs="Times New Roman"/>
          <w:sz w:val="24"/>
          <w:szCs w:val="24"/>
          <w:lang w:val="en-US"/>
        </w:rPr>
        <w:t>applying</w:t>
      </w:r>
      <w:r w:rsidRPr="00E735BA">
        <w:rPr>
          <w:rFonts w:ascii="Times New Roman" w:hAnsi="Times New Roman" w:cs="Times New Roman"/>
          <w:sz w:val="24"/>
          <w:szCs w:val="24"/>
          <w:lang w:val="en-US"/>
        </w:rPr>
        <w:t xml:space="preserve"> of set principles at all levels of the organization.</w:t>
      </w:r>
    </w:p>
    <w:p w:rsidR="00E735BA" w:rsidRPr="00E735BA" w:rsidRDefault="00495460" w:rsidP="00E735BA">
      <w:pPr>
        <w:autoSpaceDE w:val="0"/>
        <w:autoSpaceDN w:val="0"/>
        <w:adjustRightInd w:val="0"/>
        <w:spacing w:after="12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E735BA" w:rsidRPr="00E735BA">
        <w:rPr>
          <w:rFonts w:ascii="Times New Roman" w:hAnsi="Times New Roman" w:cs="Times New Roman"/>
          <w:sz w:val="24"/>
          <w:szCs w:val="24"/>
          <w:lang w:val="en-US"/>
        </w:rPr>
        <w:t xml:space="preserve">NCC’s operational risk management system implies </w:t>
      </w:r>
      <w:r>
        <w:rPr>
          <w:rFonts w:ascii="Times New Roman" w:hAnsi="Times New Roman" w:cs="Times New Roman"/>
          <w:sz w:val="24"/>
          <w:szCs w:val="24"/>
          <w:lang w:val="en-US"/>
        </w:rPr>
        <w:t xml:space="preserve">the </w:t>
      </w:r>
      <w:r w:rsidR="00E735BA" w:rsidRPr="00E735BA">
        <w:rPr>
          <w:rFonts w:ascii="Times New Roman" w:hAnsi="Times New Roman" w:cs="Times New Roman"/>
          <w:sz w:val="24"/>
          <w:szCs w:val="24"/>
          <w:lang w:val="en-US"/>
        </w:rPr>
        <w:t xml:space="preserve">collection and registration of information about operational risk events and real or probable losses connected to them. At the same time in </w:t>
      </w:r>
      <w:r>
        <w:rPr>
          <w:rFonts w:ascii="Times New Roman" w:hAnsi="Times New Roman" w:cs="Times New Roman"/>
          <w:sz w:val="24"/>
          <w:szCs w:val="24"/>
          <w:lang w:val="en-US"/>
        </w:rPr>
        <w:t xml:space="preserve">the </w:t>
      </w:r>
      <w:r w:rsidR="00E735BA" w:rsidRPr="00E735BA">
        <w:rPr>
          <w:rFonts w:ascii="Times New Roman" w:hAnsi="Times New Roman" w:cs="Times New Roman"/>
          <w:sz w:val="24"/>
          <w:szCs w:val="24"/>
          <w:lang w:val="en-US"/>
        </w:rPr>
        <w:t xml:space="preserve">interaction with the Authorized employees of legal and reputational risk management an estimation of operational risk events is made from the standpoint of their influence on the level of these kinds of risk. One of the most important tasks of operational risk management is also </w:t>
      </w:r>
      <w:r>
        <w:rPr>
          <w:rFonts w:ascii="Times New Roman" w:hAnsi="Times New Roman" w:cs="Times New Roman"/>
          <w:sz w:val="24"/>
          <w:szCs w:val="24"/>
          <w:lang w:val="en-US"/>
        </w:rPr>
        <w:t>the</w:t>
      </w:r>
      <w:r w:rsidR="00E735BA" w:rsidRPr="00E735BA">
        <w:rPr>
          <w:rFonts w:ascii="Times New Roman" w:hAnsi="Times New Roman" w:cs="Times New Roman"/>
          <w:sz w:val="24"/>
          <w:szCs w:val="24"/>
          <w:lang w:val="en-US"/>
        </w:rPr>
        <w:t xml:space="preserve"> maximum involvement of Bank’s employees into </w:t>
      </w:r>
      <w:r>
        <w:rPr>
          <w:rFonts w:ascii="Times New Roman" w:hAnsi="Times New Roman" w:cs="Times New Roman"/>
          <w:sz w:val="24"/>
          <w:szCs w:val="24"/>
          <w:lang w:val="en-US"/>
        </w:rPr>
        <w:t xml:space="preserve">the </w:t>
      </w:r>
      <w:r w:rsidR="00E735BA" w:rsidRPr="00E735BA">
        <w:rPr>
          <w:rFonts w:ascii="Times New Roman" w:hAnsi="Times New Roman" w:cs="Times New Roman"/>
          <w:sz w:val="24"/>
          <w:szCs w:val="24"/>
          <w:lang w:val="en-US"/>
        </w:rPr>
        <w:t>operational risk management process.</w:t>
      </w:r>
    </w:p>
    <w:p w:rsidR="00E735BA" w:rsidRPr="00E735BA" w:rsidRDefault="00E735BA" w:rsidP="00E735BA">
      <w:pPr>
        <w:autoSpaceDE w:val="0"/>
        <w:autoSpaceDN w:val="0"/>
        <w:adjustRightInd w:val="0"/>
        <w:spacing w:after="120" w:line="240" w:lineRule="auto"/>
        <w:ind w:firstLine="567"/>
        <w:jc w:val="both"/>
        <w:rPr>
          <w:rFonts w:ascii="Times New Roman" w:hAnsi="Times New Roman" w:cs="Times New Roman"/>
          <w:sz w:val="24"/>
          <w:szCs w:val="24"/>
          <w:lang w:val="en-US"/>
        </w:rPr>
      </w:pPr>
      <w:r w:rsidRPr="00E735BA">
        <w:rPr>
          <w:rFonts w:ascii="Times New Roman" w:hAnsi="Times New Roman" w:cs="Times New Roman"/>
          <w:sz w:val="24"/>
          <w:szCs w:val="24"/>
          <w:lang w:val="en-US"/>
        </w:rPr>
        <w:t>The Bank regularly conducts</w:t>
      </w:r>
      <w:r w:rsidR="00495460">
        <w:rPr>
          <w:rFonts w:ascii="Times New Roman" w:hAnsi="Times New Roman" w:cs="Times New Roman"/>
          <w:sz w:val="24"/>
          <w:szCs w:val="24"/>
          <w:lang w:val="en-US"/>
        </w:rPr>
        <w:t xml:space="preserve"> the</w:t>
      </w:r>
      <w:r w:rsidRPr="00E735BA">
        <w:rPr>
          <w:rFonts w:ascii="Times New Roman" w:hAnsi="Times New Roman" w:cs="Times New Roman"/>
          <w:sz w:val="24"/>
          <w:szCs w:val="24"/>
          <w:lang w:val="en-US"/>
        </w:rPr>
        <w:t xml:space="preserve"> self-assessment</w:t>
      </w:r>
      <w:r w:rsidR="00495460">
        <w:rPr>
          <w:rFonts w:ascii="Times New Roman" w:hAnsi="Times New Roman" w:cs="Times New Roman"/>
          <w:sz w:val="24"/>
          <w:szCs w:val="24"/>
          <w:lang w:val="en-US"/>
        </w:rPr>
        <w:t xml:space="preserve"> </w:t>
      </w:r>
      <w:r w:rsidRPr="00E735BA">
        <w:rPr>
          <w:rFonts w:ascii="Times New Roman" w:hAnsi="Times New Roman" w:cs="Times New Roman"/>
          <w:sz w:val="24"/>
          <w:szCs w:val="24"/>
          <w:lang w:val="en-US"/>
        </w:rPr>
        <w:t>- of operational risks and also operational risk management system analysis with the usage of mentioned in the Bank of Russia’s letter dated 23d of March 2007 No.26-T "About Methodological recommendations on verification of banking risk management system in a credit institution (its subsidiary)". The results of analysis help to determine development priorities in risk management system.</w:t>
      </w:r>
    </w:p>
    <w:p w:rsidR="00E735BA" w:rsidRPr="00E735BA" w:rsidRDefault="00E735BA" w:rsidP="00E735BA">
      <w:pPr>
        <w:autoSpaceDE w:val="0"/>
        <w:autoSpaceDN w:val="0"/>
        <w:adjustRightInd w:val="0"/>
        <w:spacing w:after="120" w:line="240" w:lineRule="auto"/>
        <w:ind w:firstLine="567"/>
        <w:jc w:val="both"/>
        <w:rPr>
          <w:rFonts w:ascii="Times New Roman" w:hAnsi="Times New Roman" w:cs="Times New Roman"/>
          <w:sz w:val="24"/>
          <w:szCs w:val="24"/>
          <w:lang w:val="en-US"/>
        </w:rPr>
      </w:pPr>
      <w:r w:rsidRPr="00E735BA">
        <w:rPr>
          <w:rFonts w:ascii="Times New Roman" w:hAnsi="Times New Roman" w:cs="Times New Roman"/>
          <w:sz w:val="24"/>
          <w:szCs w:val="24"/>
          <w:lang w:val="en-US"/>
        </w:rPr>
        <w:t>NCC’s managing bodies are regularly informed about operational risk events and measures taken to reduce the defined risks.</w:t>
      </w:r>
    </w:p>
    <w:p w:rsidR="00E735BA" w:rsidRPr="00E735BA" w:rsidRDefault="00E735BA" w:rsidP="00E735BA">
      <w:pPr>
        <w:autoSpaceDE w:val="0"/>
        <w:autoSpaceDN w:val="0"/>
        <w:adjustRightInd w:val="0"/>
        <w:spacing w:after="120" w:line="240" w:lineRule="auto"/>
        <w:ind w:firstLine="567"/>
        <w:jc w:val="both"/>
        <w:rPr>
          <w:rFonts w:ascii="Times New Roman" w:hAnsi="Times New Roman" w:cs="Times New Roman"/>
          <w:sz w:val="24"/>
          <w:szCs w:val="24"/>
          <w:lang w:val="en-US"/>
        </w:rPr>
      </w:pPr>
      <w:r w:rsidRPr="00E735BA">
        <w:rPr>
          <w:rFonts w:ascii="Times New Roman" w:hAnsi="Times New Roman" w:cs="Times New Roman"/>
          <w:sz w:val="24"/>
          <w:szCs w:val="24"/>
          <w:lang w:val="en-US"/>
        </w:rPr>
        <w:t xml:space="preserve">The multifaceted approach to </w:t>
      </w:r>
      <w:r w:rsidR="009842C4">
        <w:rPr>
          <w:rFonts w:ascii="Times New Roman" w:hAnsi="Times New Roman" w:cs="Times New Roman"/>
          <w:sz w:val="24"/>
          <w:szCs w:val="24"/>
          <w:lang w:val="en-US"/>
        </w:rPr>
        <w:t xml:space="preserve">the </w:t>
      </w:r>
      <w:r w:rsidRPr="00E735BA">
        <w:rPr>
          <w:rFonts w:ascii="Times New Roman" w:hAnsi="Times New Roman" w:cs="Times New Roman"/>
          <w:sz w:val="24"/>
          <w:szCs w:val="24"/>
          <w:lang w:val="en-US"/>
        </w:rPr>
        <w:t>operational risks reduction (personnel, processes, systems) realized in the Bank implies in particular</w:t>
      </w:r>
      <w:r w:rsidR="00EB167B" w:rsidRPr="00D55472">
        <w:rPr>
          <w:rFonts w:ascii="Times New Roman" w:hAnsi="Times New Roman" w:cs="Times New Roman"/>
          <w:sz w:val="24"/>
          <w:szCs w:val="24"/>
          <w:lang w:val="en-US"/>
        </w:rPr>
        <w:t xml:space="preserve"> </w:t>
      </w:r>
      <w:r w:rsidR="00EB167B">
        <w:rPr>
          <w:rFonts w:ascii="Times New Roman" w:hAnsi="Times New Roman" w:cs="Times New Roman"/>
          <w:sz w:val="24"/>
          <w:szCs w:val="24"/>
          <w:lang w:val="en-US"/>
        </w:rPr>
        <w:t>the measures as follows:</w:t>
      </w:r>
      <w:r w:rsidR="00FB2750">
        <w:rPr>
          <w:rFonts w:ascii="Times New Roman" w:hAnsi="Times New Roman" w:cs="Times New Roman"/>
          <w:sz w:val="24"/>
          <w:szCs w:val="24"/>
          <w:lang w:val="en-US"/>
        </w:rPr>
        <w:t xml:space="preserve"> </w:t>
      </w:r>
      <w:r w:rsidRPr="00E735BA">
        <w:rPr>
          <w:rFonts w:ascii="Times New Roman" w:hAnsi="Times New Roman" w:cs="Times New Roman"/>
          <w:sz w:val="24"/>
          <w:szCs w:val="24"/>
          <w:lang w:val="en-US"/>
        </w:rPr>
        <w:t xml:space="preserve">the implementation </w:t>
      </w:r>
      <w:r w:rsidR="00EB167B">
        <w:rPr>
          <w:rFonts w:ascii="Times New Roman" w:hAnsi="Times New Roman" w:cs="Times New Roman"/>
          <w:sz w:val="24"/>
          <w:szCs w:val="24"/>
          <w:lang w:val="en-US"/>
        </w:rPr>
        <w:t xml:space="preserve">of the system </w:t>
      </w:r>
      <w:r w:rsidR="00EB167B" w:rsidRPr="00E735BA">
        <w:rPr>
          <w:rFonts w:ascii="Times New Roman" w:hAnsi="Times New Roman" w:cs="Times New Roman"/>
          <w:sz w:val="24"/>
          <w:szCs w:val="24"/>
          <w:lang w:val="en-US"/>
        </w:rPr>
        <w:t>(with risks taken into account</w:t>
      </w:r>
      <w:r w:rsidR="00EB167B">
        <w:rPr>
          <w:rFonts w:ascii="Times New Roman" w:hAnsi="Times New Roman" w:cs="Times New Roman"/>
          <w:sz w:val="24"/>
          <w:szCs w:val="24"/>
          <w:lang w:val="en-US"/>
        </w:rPr>
        <w:t>) to determine the priority of</w:t>
      </w:r>
      <w:r w:rsidR="00495460">
        <w:rPr>
          <w:rFonts w:ascii="Times New Roman" w:hAnsi="Times New Roman" w:cs="Times New Roman"/>
          <w:sz w:val="24"/>
          <w:szCs w:val="24"/>
          <w:lang w:val="en-US"/>
        </w:rPr>
        <w:t xml:space="preserve"> processes automation and</w:t>
      </w:r>
      <w:r w:rsidRPr="00E735BA">
        <w:rPr>
          <w:rFonts w:ascii="Times New Roman" w:hAnsi="Times New Roman" w:cs="Times New Roman"/>
          <w:sz w:val="24"/>
          <w:szCs w:val="24"/>
          <w:lang w:val="en-US"/>
        </w:rPr>
        <w:t xml:space="preserve">  conducti</w:t>
      </w:r>
      <w:r w:rsidR="00EB167B">
        <w:rPr>
          <w:rFonts w:ascii="Times New Roman" w:hAnsi="Times New Roman" w:cs="Times New Roman"/>
          <w:sz w:val="24"/>
          <w:szCs w:val="24"/>
          <w:lang w:val="en-US"/>
        </w:rPr>
        <w:t>ng</w:t>
      </w:r>
      <w:r w:rsidRPr="00E735BA">
        <w:rPr>
          <w:rFonts w:ascii="Times New Roman" w:hAnsi="Times New Roman" w:cs="Times New Roman"/>
          <w:sz w:val="24"/>
          <w:szCs w:val="24"/>
          <w:lang w:val="en-US"/>
        </w:rPr>
        <w:t xml:space="preserve"> of regular audit of key business processes, maintenance of informational assets current accounting (informational systems, facilities, channels of communication), provisioning of communication channels, and the implementation of </w:t>
      </w:r>
      <w:r w:rsidR="00495460">
        <w:rPr>
          <w:rFonts w:ascii="Times New Roman" w:hAnsi="Times New Roman" w:cs="Times New Roman"/>
          <w:sz w:val="24"/>
          <w:szCs w:val="24"/>
          <w:lang w:val="en-US"/>
        </w:rPr>
        <w:t xml:space="preserve">the </w:t>
      </w:r>
      <w:r w:rsidRPr="00E735BA">
        <w:rPr>
          <w:rFonts w:ascii="Times New Roman" w:hAnsi="Times New Roman" w:cs="Times New Roman"/>
          <w:sz w:val="24"/>
          <w:szCs w:val="24"/>
          <w:lang w:val="en-US"/>
        </w:rPr>
        <w:t>project and service approach to the performance of departments.</w:t>
      </w:r>
    </w:p>
    <w:p w:rsidR="00E735BA" w:rsidRPr="00E735BA" w:rsidRDefault="00495460" w:rsidP="00E735BA">
      <w:pPr>
        <w:autoSpaceDE w:val="0"/>
        <w:autoSpaceDN w:val="0"/>
        <w:adjustRightInd w:val="0"/>
        <w:spacing w:after="12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m</w:t>
      </w:r>
      <w:r w:rsidR="00E735BA" w:rsidRPr="00E735BA">
        <w:rPr>
          <w:rFonts w:ascii="Times New Roman" w:hAnsi="Times New Roman" w:cs="Times New Roman"/>
          <w:sz w:val="24"/>
          <w:szCs w:val="24"/>
          <w:lang w:val="en-US"/>
        </w:rPr>
        <w:t xml:space="preserve">onitoring and control over minimization of defined risks is held also on the basis of operational risk indicators, reports on </w:t>
      </w:r>
      <w:r w:rsidR="009842C4">
        <w:rPr>
          <w:rFonts w:ascii="Times New Roman" w:hAnsi="Times New Roman" w:cs="Times New Roman"/>
          <w:sz w:val="24"/>
          <w:szCs w:val="24"/>
          <w:lang w:val="en-US"/>
        </w:rPr>
        <w:t xml:space="preserve">the </w:t>
      </w:r>
      <w:r w:rsidR="00E735BA" w:rsidRPr="00E735BA">
        <w:rPr>
          <w:rFonts w:ascii="Times New Roman" w:hAnsi="Times New Roman" w:cs="Times New Roman"/>
          <w:sz w:val="24"/>
          <w:szCs w:val="24"/>
          <w:lang w:val="en-US"/>
        </w:rPr>
        <w:t xml:space="preserve">project implementation, </w:t>
      </w:r>
      <w:proofErr w:type="gramStart"/>
      <w:r w:rsidR="00E735BA" w:rsidRPr="00E735BA">
        <w:rPr>
          <w:rFonts w:ascii="Times New Roman" w:hAnsi="Times New Roman" w:cs="Times New Roman"/>
          <w:sz w:val="24"/>
          <w:szCs w:val="24"/>
          <w:lang w:val="en-US"/>
        </w:rPr>
        <w:t>data</w:t>
      </w:r>
      <w:proofErr w:type="gramEnd"/>
      <w:r w:rsidR="00E735BA" w:rsidRPr="00E735BA">
        <w:rPr>
          <w:rFonts w:ascii="Times New Roman" w:hAnsi="Times New Roman" w:cs="Times New Roman"/>
          <w:sz w:val="24"/>
          <w:szCs w:val="24"/>
          <w:lang w:val="en-US"/>
        </w:rPr>
        <w:t xml:space="preserve"> of </w:t>
      </w:r>
      <w:r w:rsidR="009842C4">
        <w:rPr>
          <w:rFonts w:ascii="Times New Roman" w:hAnsi="Times New Roman" w:cs="Times New Roman"/>
          <w:sz w:val="24"/>
          <w:szCs w:val="24"/>
          <w:lang w:val="en-US"/>
        </w:rPr>
        <w:t xml:space="preserve">the </w:t>
      </w:r>
      <w:r w:rsidR="00E735BA" w:rsidRPr="00E735BA">
        <w:rPr>
          <w:rFonts w:ascii="Times New Roman" w:hAnsi="Times New Roman" w:cs="Times New Roman"/>
          <w:sz w:val="24"/>
          <w:szCs w:val="24"/>
          <w:lang w:val="en-US"/>
        </w:rPr>
        <w:t>administrative control system. According to the results of operational risk management reports the Bank’s managing bodies make orders to develop or take some or other measures aimed at reduc</w:t>
      </w:r>
      <w:r w:rsidR="00F35C31">
        <w:rPr>
          <w:rFonts w:ascii="Times New Roman" w:hAnsi="Times New Roman" w:cs="Times New Roman"/>
          <w:sz w:val="24"/>
          <w:szCs w:val="24"/>
          <w:lang w:val="en-US"/>
        </w:rPr>
        <w:t>ing</w:t>
      </w:r>
      <w:r w:rsidR="00E735BA" w:rsidRPr="00E735BA">
        <w:rPr>
          <w:rFonts w:ascii="Times New Roman" w:hAnsi="Times New Roman" w:cs="Times New Roman"/>
          <w:sz w:val="24"/>
          <w:szCs w:val="24"/>
          <w:lang w:val="en-US"/>
        </w:rPr>
        <w:t xml:space="preserve"> of defined operational risks.</w:t>
      </w:r>
    </w:p>
    <w:p w:rsidR="00E735BA" w:rsidRPr="00DD292F" w:rsidRDefault="00E735BA" w:rsidP="00E735BA">
      <w:pPr>
        <w:autoSpaceDE w:val="0"/>
        <w:autoSpaceDN w:val="0"/>
        <w:adjustRightInd w:val="0"/>
        <w:spacing w:after="120" w:line="240" w:lineRule="auto"/>
        <w:ind w:firstLine="567"/>
        <w:jc w:val="both"/>
        <w:rPr>
          <w:rFonts w:ascii="Times New Roman" w:hAnsi="Times New Roman" w:cs="Times New Roman"/>
          <w:sz w:val="24"/>
          <w:szCs w:val="24"/>
          <w:lang w:val="en-US"/>
        </w:rPr>
      </w:pPr>
      <w:proofErr w:type="gramStart"/>
      <w:r w:rsidRPr="00E735BA">
        <w:rPr>
          <w:rFonts w:ascii="Times New Roman" w:hAnsi="Times New Roman" w:cs="Times New Roman"/>
          <w:sz w:val="24"/>
          <w:szCs w:val="24"/>
          <w:lang w:val="en-US"/>
        </w:rPr>
        <w:t>As a qualif</w:t>
      </w:r>
      <w:r w:rsidR="00F35C31">
        <w:rPr>
          <w:rFonts w:ascii="Times New Roman" w:hAnsi="Times New Roman" w:cs="Times New Roman"/>
          <w:sz w:val="24"/>
          <w:szCs w:val="24"/>
          <w:lang w:val="en-US"/>
        </w:rPr>
        <w:t>ying</w:t>
      </w:r>
      <w:r w:rsidR="00FB2750">
        <w:rPr>
          <w:rFonts w:ascii="Times New Roman" w:hAnsi="Times New Roman" w:cs="Times New Roman"/>
          <w:sz w:val="24"/>
          <w:szCs w:val="24"/>
          <w:lang w:val="en-US"/>
        </w:rPr>
        <w:t xml:space="preserve"> </w:t>
      </w:r>
      <w:r w:rsidRPr="00E735BA">
        <w:rPr>
          <w:rFonts w:ascii="Times New Roman" w:hAnsi="Times New Roman" w:cs="Times New Roman"/>
          <w:sz w:val="24"/>
          <w:szCs w:val="24"/>
          <w:lang w:val="en-US"/>
        </w:rPr>
        <w:t>central counterparty NCC monthly accounts for the Bank of Russia on the list of registered incidents and defined operational risks.</w:t>
      </w:r>
      <w:proofErr w:type="gramEnd"/>
    </w:p>
    <w:p w:rsidR="00E735BA" w:rsidRPr="00E735BA" w:rsidRDefault="00E735BA" w:rsidP="00E735BA">
      <w:pPr>
        <w:autoSpaceDE w:val="0"/>
        <w:autoSpaceDN w:val="0"/>
        <w:adjustRightInd w:val="0"/>
        <w:spacing w:after="120" w:line="240" w:lineRule="auto"/>
        <w:ind w:firstLine="567"/>
        <w:jc w:val="both"/>
        <w:rPr>
          <w:rFonts w:ascii="Times New Roman" w:hAnsi="Times New Roman" w:cs="Times New Roman"/>
          <w:sz w:val="24"/>
          <w:szCs w:val="24"/>
          <w:lang w:val="en-US"/>
        </w:rPr>
      </w:pPr>
      <w:r w:rsidRPr="00E735BA">
        <w:rPr>
          <w:rFonts w:ascii="Times New Roman" w:hAnsi="Times New Roman" w:cs="Times New Roman"/>
          <w:sz w:val="24"/>
          <w:szCs w:val="24"/>
          <w:lang w:val="en-US"/>
        </w:rPr>
        <w:t xml:space="preserve">Operational risk minimization in the Bank is reached by the </w:t>
      </w:r>
      <w:r w:rsidR="00F35C31">
        <w:rPr>
          <w:rFonts w:ascii="Times New Roman" w:hAnsi="Times New Roman" w:cs="Times New Roman"/>
          <w:sz w:val="24"/>
          <w:szCs w:val="24"/>
          <w:lang w:val="en-US"/>
        </w:rPr>
        <w:t>implementation</w:t>
      </w:r>
      <w:r w:rsidRPr="00E735BA">
        <w:rPr>
          <w:rFonts w:ascii="Times New Roman" w:hAnsi="Times New Roman" w:cs="Times New Roman"/>
          <w:sz w:val="24"/>
          <w:szCs w:val="24"/>
          <w:lang w:val="en-US"/>
        </w:rPr>
        <w:t xml:space="preserve"> of preventive and corrective internal and external </w:t>
      </w:r>
      <w:r w:rsidR="00297402">
        <w:rPr>
          <w:rFonts w:ascii="Times New Roman" w:hAnsi="Times New Roman" w:cs="Times New Roman"/>
          <w:sz w:val="24"/>
          <w:szCs w:val="24"/>
          <w:lang w:val="en-US"/>
        </w:rPr>
        <w:t xml:space="preserve">controlling </w:t>
      </w:r>
      <w:r w:rsidRPr="00E735BA">
        <w:rPr>
          <w:rFonts w:ascii="Times New Roman" w:hAnsi="Times New Roman" w:cs="Times New Roman"/>
          <w:sz w:val="24"/>
          <w:szCs w:val="24"/>
          <w:lang w:val="en-US"/>
        </w:rPr>
        <w:t xml:space="preserve">measures, which include particularly the </w:t>
      </w:r>
      <w:r w:rsidR="00297402">
        <w:rPr>
          <w:rFonts w:ascii="Times New Roman" w:hAnsi="Times New Roman" w:cs="Times New Roman"/>
          <w:sz w:val="24"/>
          <w:szCs w:val="24"/>
          <w:lang w:val="en-US"/>
        </w:rPr>
        <w:t>in</w:t>
      </w:r>
      <w:r w:rsidR="00FB2750">
        <w:rPr>
          <w:rFonts w:ascii="Times New Roman" w:hAnsi="Times New Roman" w:cs="Times New Roman"/>
          <w:sz w:val="24"/>
          <w:szCs w:val="24"/>
          <w:lang w:val="en-US"/>
        </w:rPr>
        <w:t>t</w:t>
      </w:r>
      <w:r w:rsidR="00297402">
        <w:rPr>
          <w:rFonts w:ascii="Times New Roman" w:hAnsi="Times New Roman" w:cs="Times New Roman"/>
          <w:sz w:val="24"/>
          <w:szCs w:val="24"/>
          <w:lang w:val="en-US"/>
        </w:rPr>
        <w:t>roduction</w:t>
      </w:r>
      <w:r w:rsidRPr="00E735BA">
        <w:rPr>
          <w:rFonts w:ascii="Times New Roman" w:hAnsi="Times New Roman" w:cs="Times New Roman"/>
          <w:sz w:val="24"/>
          <w:szCs w:val="24"/>
          <w:lang w:val="en-US"/>
        </w:rPr>
        <w:t xml:space="preserve"> of new procedures and software and hardware means to control the access, differentiation of user’s/administrator’s rights in informational systems, data backup measure, analysis of the existing controlling measures and development and implementation of the new ones.</w:t>
      </w:r>
    </w:p>
    <w:p w:rsidR="00E735BA" w:rsidRPr="00E735BA" w:rsidRDefault="00E735BA" w:rsidP="00E735BA">
      <w:pPr>
        <w:autoSpaceDE w:val="0"/>
        <w:autoSpaceDN w:val="0"/>
        <w:adjustRightInd w:val="0"/>
        <w:spacing w:after="120" w:line="240" w:lineRule="auto"/>
        <w:ind w:firstLine="567"/>
        <w:jc w:val="both"/>
        <w:rPr>
          <w:rFonts w:ascii="Times New Roman" w:hAnsi="Times New Roman" w:cs="Times New Roman"/>
          <w:sz w:val="24"/>
          <w:szCs w:val="24"/>
          <w:lang w:val="en-US"/>
        </w:rPr>
      </w:pPr>
      <w:r w:rsidRPr="00E735BA">
        <w:rPr>
          <w:rFonts w:ascii="Times New Roman" w:hAnsi="Times New Roman" w:cs="Times New Roman"/>
          <w:sz w:val="24"/>
          <w:szCs w:val="24"/>
          <w:lang w:val="en-US"/>
        </w:rPr>
        <w:t xml:space="preserve">The Bank performs regular </w:t>
      </w:r>
      <w:r w:rsidR="00297402">
        <w:rPr>
          <w:rFonts w:ascii="Times New Roman" w:hAnsi="Times New Roman" w:cs="Times New Roman"/>
          <w:sz w:val="24"/>
          <w:szCs w:val="24"/>
          <w:lang w:val="en-US"/>
        </w:rPr>
        <w:t>risk-</w:t>
      </w:r>
      <w:r w:rsidRPr="00E735BA">
        <w:rPr>
          <w:rFonts w:ascii="Times New Roman" w:hAnsi="Times New Roman" w:cs="Times New Roman"/>
          <w:sz w:val="24"/>
          <w:szCs w:val="24"/>
          <w:lang w:val="en-US"/>
        </w:rPr>
        <w:t xml:space="preserve">audit of the key processes. According to its results new technologies are implemented, </w:t>
      </w:r>
      <w:r w:rsidR="00297402">
        <w:rPr>
          <w:rFonts w:ascii="Times New Roman" w:hAnsi="Times New Roman" w:cs="Times New Roman"/>
          <w:sz w:val="24"/>
          <w:szCs w:val="24"/>
          <w:lang w:val="en-US"/>
        </w:rPr>
        <w:t xml:space="preserve">which reduce </w:t>
      </w:r>
      <w:r w:rsidRPr="00E735BA">
        <w:rPr>
          <w:rFonts w:ascii="Times New Roman" w:hAnsi="Times New Roman" w:cs="Times New Roman"/>
          <w:sz w:val="24"/>
          <w:szCs w:val="24"/>
          <w:lang w:val="en-US"/>
        </w:rPr>
        <w:t xml:space="preserve">the level of </w:t>
      </w:r>
      <w:r w:rsidR="009842C4">
        <w:rPr>
          <w:rFonts w:ascii="Times New Roman" w:hAnsi="Times New Roman" w:cs="Times New Roman"/>
          <w:sz w:val="24"/>
          <w:szCs w:val="24"/>
          <w:lang w:val="en-US"/>
        </w:rPr>
        <w:t xml:space="preserve">the </w:t>
      </w:r>
      <w:r w:rsidRPr="00E735BA">
        <w:rPr>
          <w:rFonts w:ascii="Times New Roman" w:hAnsi="Times New Roman" w:cs="Times New Roman"/>
          <w:sz w:val="24"/>
          <w:szCs w:val="24"/>
          <w:lang w:val="en-US"/>
        </w:rPr>
        <w:t>operational risk</w:t>
      </w:r>
      <w:r w:rsidR="00297402">
        <w:rPr>
          <w:rFonts w:ascii="Times New Roman" w:hAnsi="Times New Roman" w:cs="Times New Roman"/>
          <w:sz w:val="24"/>
          <w:szCs w:val="24"/>
          <w:lang w:val="en-US"/>
        </w:rPr>
        <w:t>.</w:t>
      </w:r>
      <w:r w:rsidRPr="00E735BA">
        <w:rPr>
          <w:rFonts w:ascii="Times New Roman" w:hAnsi="Times New Roman" w:cs="Times New Roman"/>
          <w:sz w:val="24"/>
          <w:szCs w:val="24"/>
          <w:lang w:val="en-US"/>
        </w:rPr>
        <w:t xml:space="preserve"> During the implementation of new products and services </w:t>
      </w:r>
      <w:r w:rsidR="00297402">
        <w:rPr>
          <w:rFonts w:ascii="Times New Roman" w:hAnsi="Times New Roman" w:cs="Times New Roman"/>
          <w:sz w:val="24"/>
          <w:szCs w:val="24"/>
          <w:lang w:val="en-US"/>
        </w:rPr>
        <w:t xml:space="preserve">the </w:t>
      </w:r>
      <w:r w:rsidRPr="00E735BA">
        <w:rPr>
          <w:rFonts w:ascii="Times New Roman" w:hAnsi="Times New Roman" w:cs="Times New Roman"/>
          <w:sz w:val="24"/>
          <w:szCs w:val="24"/>
          <w:lang w:val="en-US"/>
        </w:rPr>
        <w:t xml:space="preserve">complex and multifaceted analysis of the project along with the assessment of operational risks is held. </w:t>
      </w:r>
    </w:p>
    <w:p w:rsidR="00E735BA" w:rsidRPr="00E735BA" w:rsidRDefault="00E735BA" w:rsidP="00E735BA">
      <w:pPr>
        <w:autoSpaceDE w:val="0"/>
        <w:autoSpaceDN w:val="0"/>
        <w:adjustRightInd w:val="0"/>
        <w:spacing w:after="120" w:line="240" w:lineRule="auto"/>
        <w:ind w:firstLine="567"/>
        <w:jc w:val="both"/>
        <w:rPr>
          <w:rFonts w:ascii="Times New Roman" w:hAnsi="Times New Roman" w:cs="Times New Roman"/>
          <w:sz w:val="24"/>
          <w:szCs w:val="24"/>
          <w:lang w:val="en-US"/>
        </w:rPr>
      </w:pPr>
      <w:r w:rsidRPr="00E735BA">
        <w:rPr>
          <w:rFonts w:ascii="Times New Roman" w:hAnsi="Times New Roman" w:cs="Times New Roman"/>
          <w:sz w:val="24"/>
          <w:szCs w:val="24"/>
          <w:lang w:val="en-US"/>
        </w:rPr>
        <w:t>Performing the functions of the clearing institution and the central counterparty, NCC acts according to the necessity of being ready to the appearance of events, which may lead to the</w:t>
      </w:r>
      <w:r w:rsidR="009842C4">
        <w:rPr>
          <w:rFonts w:ascii="Times New Roman" w:hAnsi="Times New Roman" w:cs="Times New Roman"/>
          <w:sz w:val="24"/>
          <w:szCs w:val="24"/>
          <w:lang w:val="en-US"/>
        </w:rPr>
        <w:t xml:space="preserve"> halt</w:t>
      </w:r>
      <w:r w:rsidRPr="00E735BA">
        <w:rPr>
          <w:rFonts w:ascii="Times New Roman" w:hAnsi="Times New Roman" w:cs="Times New Roman"/>
          <w:sz w:val="24"/>
          <w:szCs w:val="24"/>
          <w:lang w:val="en-US"/>
        </w:rPr>
        <w:t xml:space="preserve"> of usual operations and procedures.</w:t>
      </w:r>
    </w:p>
    <w:p w:rsidR="00E735BA" w:rsidRPr="00E735BA" w:rsidRDefault="00E735BA" w:rsidP="00E735BA">
      <w:pPr>
        <w:autoSpaceDE w:val="0"/>
        <w:autoSpaceDN w:val="0"/>
        <w:adjustRightInd w:val="0"/>
        <w:spacing w:after="120" w:line="240" w:lineRule="auto"/>
        <w:ind w:firstLine="567"/>
        <w:jc w:val="both"/>
        <w:rPr>
          <w:rFonts w:ascii="Times New Roman" w:hAnsi="Times New Roman" w:cs="Times New Roman"/>
          <w:sz w:val="24"/>
          <w:szCs w:val="24"/>
          <w:lang w:val="en-US"/>
        </w:rPr>
      </w:pPr>
      <w:r w:rsidRPr="00E735BA">
        <w:rPr>
          <w:rFonts w:ascii="Times New Roman" w:hAnsi="Times New Roman" w:cs="Times New Roman"/>
          <w:sz w:val="24"/>
          <w:szCs w:val="24"/>
          <w:lang w:val="en-US"/>
        </w:rPr>
        <w:t>The Bank of Russia's Regulation dated 16</w:t>
      </w:r>
      <w:r w:rsidRPr="00E735BA">
        <w:rPr>
          <w:rFonts w:ascii="Times New Roman" w:hAnsi="Times New Roman" w:cs="Times New Roman"/>
          <w:sz w:val="24"/>
          <w:szCs w:val="24"/>
          <w:vertAlign w:val="superscript"/>
          <w:lang w:val="en-US"/>
        </w:rPr>
        <w:t xml:space="preserve"> </w:t>
      </w:r>
      <w:r w:rsidRPr="00E735BA">
        <w:rPr>
          <w:rFonts w:ascii="Times New Roman" w:hAnsi="Times New Roman" w:cs="Times New Roman"/>
          <w:sz w:val="24"/>
          <w:szCs w:val="24"/>
          <w:lang w:val="en-US"/>
        </w:rPr>
        <w:t xml:space="preserve">December 2003 No. 242-P "About the internal control organization in credit institutions and banking groups" obliges credit institutions to develop plans of provisioning of continuity and business recovery in case of unforeseen circumstances. According to the regulator’s requirements a modern model of Business continuity management system (BCMS) was developed and implemented. </w:t>
      </w:r>
    </w:p>
    <w:p w:rsidR="00E735BA" w:rsidRPr="00E735BA" w:rsidRDefault="00E735BA" w:rsidP="00E735BA">
      <w:pPr>
        <w:spacing w:after="120" w:line="240" w:lineRule="auto"/>
        <w:ind w:firstLine="567"/>
        <w:jc w:val="both"/>
        <w:rPr>
          <w:rFonts w:ascii="Times New Roman" w:hAnsi="Times New Roman" w:cs="Times New Roman"/>
          <w:sz w:val="24"/>
          <w:szCs w:val="24"/>
          <w:lang w:val="en-US"/>
        </w:rPr>
      </w:pPr>
      <w:r w:rsidRPr="00E735BA">
        <w:rPr>
          <w:rFonts w:ascii="Times New Roman" w:hAnsi="Times New Roman" w:cs="Times New Roman"/>
          <w:sz w:val="24"/>
          <w:szCs w:val="24"/>
          <w:lang w:val="en-US"/>
        </w:rPr>
        <w:t>During the performance of processes ensuring the continuity of business NCC uses the methodology of international standard in continuity ensuring ISO 22301 (Social safety- Systems of business continuity management – Requirements). The main elements of this approach are</w:t>
      </w:r>
      <w:r w:rsidR="009842C4">
        <w:rPr>
          <w:rFonts w:ascii="Times New Roman" w:hAnsi="Times New Roman" w:cs="Times New Roman"/>
          <w:sz w:val="24"/>
          <w:szCs w:val="24"/>
          <w:lang w:val="en-US"/>
        </w:rPr>
        <w:t xml:space="preserve"> as follows</w:t>
      </w:r>
      <w:r w:rsidRPr="00E735BA">
        <w:rPr>
          <w:rFonts w:ascii="Times New Roman" w:hAnsi="Times New Roman" w:cs="Times New Roman"/>
          <w:sz w:val="24"/>
          <w:szCs w:val="24"/>
          <w:lang w:val="en-US"/>
        </w:rPr>
        <w:t>:</w:t>
      </w:r>
    </w:p>
    <w:p w:rsidR="00E735BA" w:rsidRPr="00E735BA" w:rsidRDefault="00E735BA" w:rsidP="00472CA4">
      <w:pPr>
        <w:numPr>
          <w:ilvl w:val="0"/>
          <w:numId w:val="38"/>
        </w:numPr>
        <w:spacing w:after="120" w:line="240" w:lineRule="auto"/>
        <w:ind w:left="1417" w:hanging="567"/>
        <w:contextualSpacing/>
        <w:jc w:val="both"/>
        <w:rPr>
          <w:rFonts w:ascii="Times New Roman" w:eastAsia="Calibri" w:hAnsi="Times New Roman" w:cs="Times New Roman"/>
          <w:sz w:val="24"/>
          <w:szCs w:val="24"/>
          <w:lang w:val="en-US"/>
        </w:rPr>
      </w:pPr>
      <w:r w:rsidRPr="00E735BA">
        <w:rPr>
          <w:rFonts w:ascii="Times New Roman" w:eastAsia="Calibri" w:hAnsi="Times New Roman" w:cs="Times New Roman"/>
          <w:sz w:val="24"/>
          <w:szCs w:val="24"/>
          <w:lang w:val="en-US"/>
        </w:rPr>
        <w:t xml:space="preserve">The policy of business continuity ensuring – document, concerted with the Supervisory Board of NCC, which regulates the performance in the field of business continuity provision in NCC. </w:t>
      </w:r>
    </w:p>
    <w:p w:rsidR="00E735BA" w:rsidRPr="00E735BA" w:rsidRDefault="00E735BA" w:rsidP="00472CA4">
      <w:pPr>
        <w:numPr>
          <w:ilvl w:val="0"/>
          <w:numId w:val="38"/>
        </w:numPr>
        <w:spacing w:after="120" w:line="240" w:lineRule="auto"/>
        <w:ind w:left="1417" w:hanging="567"/>
        <w:contextualSpacing/>
        <w:jc w:val="both"/>
        <w:rPr>
          <w:rFonts w:ascii="Times New Roman" w:eastAsia="Calibri" w:hAnsi="Times New Roman" w:cs="Times New Roman"/>
          <w:sz w:val="24"/>
          <w:szCs w:val="24"/>
          <w:lang w:val="en-US"/>
        </w:rPr>
      </w:pPr>
      <w:r w:rsidRPr="00E735BA">
        <w:rPr>
          <w:rFonts w:ascii="Times New Roman" w:eastAsia="Calibri" w:hAnsi="Times New Roman" w:cs="Times New Roman"/>
          <w:sz w:val="24"/>
          <w:szCs w:val="24"/>
          <w:lang w:val="en-US"/>
        </w:rPr>
        <w:t xml:space="preserve">The assessment of business continuity risks – the process of defining risks, their analysis and evaluation of their impact on NCC’s business. </w:t>
      </w:r>
    </w:p>
    <w:p w:rsidR="00E735BA" w:rsidRPr="00E735BA" w:rsidRDefault="00E735BA" w:rsidP="00472CA4">
      <w:pPr>
        <w:numPr>
          <w:ilvl w:val="0"/>
          <w:numId w:val="38"/>
        </w:numPr>
        <w:spacing w:after="120" w:line="240" w:lineRule="auto"/>
        <w:ind w:left="1417" w:hanging="567"/>
        <w:contextualSpacing/>
        <w:jc w:val="both"/>
        <w:rPr>
          <w:rFonts w:ascii="Times New Roman" w:eastAsia="Calibri" w:hAnsi="Times New Roman" w:cs="Times New Roman"/>
          <w:sz w:val="24"/>
          <w:szCs w:val="24"/>
          <w:lang w:val="en-US"/>
        </w:rPr>
      </w:pPr>
      <w:r w:rsidRPr="00E735BA">
        <w:rPr>
          <w:rFonts w:ascii="Times New Roman" w:eastAsia="Calibri" w:hAnsi="Times New Roman" w:cs="Times New Roman"/>
          <w:sz w:val="24"/>
          <w:szCs w:val="24"/>
          <w:lang w:val="en-US"/>
        </w:rPr>
        <w:t xml:space="preserve">The analysis of impacts on business is the analysis of all the NCC’s processes from a standpoint of evaluation of probable impacts of different incidents in time. The analysis is conducted at least once a year and comprises all structural departments of the bank. </w:t>
      </w:r>
    </w:p>
    <w:p w:rsidR="00E735BA" w:rsidRPr="00E735BA" w:rsidRDefault="00E735BA" w:rsidP="00472CA4">
      <w:pPr>
        <w:numPr>
          <w:ilvl w:val="0"/>
          <w:numId w:val="38"/>
        </w:numPr>
        <w:spacing w:after="120" w:line="240" w:lineRule="auto"/>
        <w:ind w:left="1417" w:hanging="567"/>
        <w:contextualSpacing/>
        <w:jc w:val="both"/>
        <w:rPr>
          <w:rFonts w:ascii="Times New Roman" w:eastAsia="Calibri" w:hAnsi="Times New Roman" w:cs="Times New Roman"/>
          <w:sz w:val="24"/>
          <w:szCs w:val="24"/>
          <w:lang w:val="en-US"/>
        </w:rPr>
      </w:pPr>
      <w:r w:rsidRPr="00E735BA">
        <w:rPr>
          <w:rFonts w:ascii="Times New Roman" w:eastAsia="Calibri" w:hAnsi="Times New Roman" w:cs="Times New Roman"/>
          <w:sz w:val="24"/>
          <w:szCs w:val="24"/>
          <w:lang w:val="en-US"/>
        </w:rPr>
        <w:t>Crisis management is the development of multilevel strategy providing continuity of NCC’s business, which includes principles of crisis management designed earlier.</w:t>
      </w:r>
    </w:p>
    <w:p w:rsidR="00E735BA" w:rsidRPr="00E735BA" w:rsidRDefault="00E735BA" w:rsidP="00472CA4">
      <w:pPr>
        <w:numPr>
          <w:ilvl w:val="0"/>
          <w:numId w:val="38"/>
        </w:numPr>
        <w:spacing w:after="120" w:line="240" w:lineRule="auto"/>
        <w:ind w:left="1417" w:hanging="567"/>
        <w:contextualSpacing/>
        <w:jc w:val="both"/>
        <w:rPr>
          <w:rFonts w:ascii="Times New Roman" w:eastAsia="Calibri" w:hAnsi="Times New Roman" w:cs="Times New Roman"/>
          <w:sz w:val="24"/>
          <w:szCs w:val="24"/>
          <w:lang w:val="en-US"/>
        </w:rPr>
      </w:pPr>
      <w:r w:rsidRPr="00E735BA">
        <w:rPr>
          <w:rFonts w:ascii="Times New Roman" w:eastAsia="Calibri" w:hAnsi="Times New Roman" w:cs="Times New Roman"/>
          <w:sz w:val="24"/>
          <w:szCs w:val="24"/>
          <w:lang w:val="en-US"/>
        </w:rPr>
        <w:t>The strategy which provides the continuity of business is a developed strategy, where the actions in the following scenarios are described: unavailability of personnel, unavailability of the building/ office, unavailability of infrastructure, unavailability of data and unavailability of suppliers.</w:t>
      </w:r>
    </w:p>
    <w:p w:rsidR="00E735BA" w:rsidRPr="00E735BA" w:rsidRDefault="00E735BA" w:rsidP="00472CA4">
      <w:pPr>
        <w:numPr>
          <w:ilvl w:val="0"/>
          <w:numId w:val="38"/>
        </w:numPr>
        <w:spacing w:after="120" w:line="240" w:lineRule="auto"/>
        <w:ind w:left="1417" w:hanging="567"/>
        <w:contextualSpacing/>
        <w:jc w:val="both"/>
        <w:rPr>
          <w:rFonts w:ascii="Times New Roman" w:eastAsia="Calibri" w:hAnsi="Times New Roman" w:cs="Times New Roman"/>
          <w:sz w:val="24"/>
          <w:szCs w:val="24"/>
          <w:lang w:val="en-US"/>
        </w:rPr>
      </w:pPr>
      <w:r w:rsidRPr="00E735BA">
        <w:rPr>
          <w:rFonts w:ascii="Times New Roman" w:eastAsia="Calibri" w:hAnsi="Times New Roman" w:cs="Times New Roman"/>
          <w:sz w:val="24"/>
          <w:szCs w:val="24"/>
          <w:lang w:val="en-US"/>
        </w:rPr>
        <w:t xml:space="preserve">The plan which provides the continuity and business recovery is a documented procedure which is used in case of emergency. The plan names measures to maintain crucial business functions </w:t>
      </w:r>
      <w:r w:rsidR="009842C4">
        <w:rPr>
          <w:rFonts w:ascii="Times New Roman" w:eastAsia="Calibri" w:hAnsi="Times New Roman" w:cs="Times New Roman"/>
          <w:sz w:val="24"/>
          <w:szCs w:val="24"/>
          <w:lang w:val="en-US"/>
        </w:rPr>
        <w:t>at</w:t>
      </w:r>
      <w:r w:rsidRPr="00E735BA">
        <w:rPr>
          <w:rFonts w:ascii="Times New Roman" w:eastAsia="Calibri" w:hAnsi="Times New Roman" w:cs="Times New Roman"/>
          <w:sz w:val="24"/>
          <w:szCs w:val="24"/>
          <w:lang w:val="en-US"/>
        </w:rPr>
        <w:t xml:space="preserve"> the level which has been defined and concerted earlier.</w:t>
      </w:r>
    </w:p>
    <w:p w:rsidR="00E735BA" w:rsidRPr="00E735BA" w:rsidRDefault="00E735BA" w:rsidP="00472CA4">
      <w:pPr>
        <w:numPr>
          <w:ilvl w:val="0"/>
          <w:numId w:val="38"/>
        </w:numPr>
        <w:spacing w:after="120" w:line="240" w:lineRule="auto"/>
        <w:ind w:left="1417" w:hanging="567"/>
        <w:contextualSpacing/>
        <w:jc w:val="both"/>
        <w:rPr>
          <w:rFonts w:ascii="Times New Roman" w:eastAsia="Calibri" w:hAnsi="Times New Roman" w:cs="Times New Roman"/>
          <w:sz w:val="24"/>
          <w:szCs w:val="24"/>
          <w:lang w:val="en-US"/>
        </w:rPr>
      </w:pPr>
      <w:r w:rsidRPr="00E735BA">
        <w:rPr>
          <w:rFonts w:ascii="Times New Roman" w:eastAsia="Calibri" w:hAnsi="Times New Roman" w:cs="Times New Roman"/>
          <w:sz w:val="24"/>
          <w:szCs w:val="24"/>
          <w:lang w:val="en-US"/>
        </w:rPr>
        <w:t>The plan of recovery is a documented process of recovery and security of IT infrastructure and systems used in case of emergency.</w:t>
      </w:r>
    </w:p>
    <w:p w:rsidR="00E735BA" w:rsidRPr="00E735BA" w:rsidRDefault="00E735BA" w:rsidP="00472CA4">
      <w:pPr>
        <w:numPr>
          <w:ilvl w:val="0"/>
          <w:numId w:val="38"/>
        </w:numPr>
        <w:spacing w:after="120" w:line="240" w:lineRule="auto"/>
        <w:ind w:left="1417" w:hanging="567"/>
        <w:contextualSpacing/>
        <w:jc w:val="both"/>
        <w:rPr>
          <w:rFonts w:ascii="Times New Roman" w:eastAsia="Calibri" w:hAnsi="Times New Roman" w:cs="Times New Roman"/>
          <w:sz w:val="24"/>
          <w:szCs w:val="24"/>
          <w:lang w:val="en-US"/>
        </w:rPr>
      </w:pPr>
      <w:r w:rsidRPr="00E735BA">
        <w:rPr>
          <w:rFonts w:ascii="Times New Roman" w:eastAsia="Calibri" w:hAnsi="Times New Roman" w:cs="Times New Roman"/>
          <w:sz w:val="24"/>
          <w:szCs w:val="24"/>
          <w:lang w:val="en-US"/>
        </w:rPr>
        <w:t>Incident management is distinctly defined and documented plan of actions, which is to be used in case of emergency to minimize the impact on personnel and crucial business-processes.</w:t>
      </w:r>
    </w:p>
    <w:p w:rsidR="00E735BA" w:rsidRPr="00E735BA" w:rsidRDefault="00E735BA" w:rsidP="00472CA4">
      <w:pPr>
        <w:numPr>
          <w:ilvl w:val="0"/>
          <w:numId w:val="38"/>
        </w:numPr>
        <w:spacing w:after="120" w:line="240" w:lineRule="auto"/>
        <w:ind w:left="1417" w:hanging="567"/>
        <w:contextualSpacing/>
        <w:jc w:val="both"/>
        <w:rPr>
          <w:rFonts w:ascii="Times New Roman" w:eastAsia="Calibri" w:hAnsi="Times New Roman" w:cs="Times New Roman"/>
          <w:sz w:val="24"/>
          <w:szCs w:val="24"/>
          <w:lang w:val="en-US"/>
        </w:rPr>
      </w:pPr>
      <w:r w:rsidRPr="00E735BA">
        <w:rPr>
          <w:rFonts w:ascii="Times New Roman" w:eastAsia="Calibri" w:hAnsi="Times New Roman" w:cs="Times New Roman"/>
          <w:sz w:val="24"/>
          <w:szCs w:val="24"/>
          <w:lang w:val="en-US"/>
        </w:rPr>
        <w:t xml:space="preserve">Crisis communications are documented priorities in communications used in case of emergency, which contain earlier developed patterns for reporting to internal and external spheres. </w:t>
      </w:r>
    </w:p>
    <w:p w:rsidR="00E735BA" w:rsidRPr="00E735BA" w:rsidRDefault="00E735BA" w:rsidP="00472CA4">
      <w:pPr>
        <w:numPr>
          <w:ilvl w:val="0"/>
          <w:numId w:val="38"/>
        </w:numPr>
        <w:spacing w:after="120" w:line="240" w:lineRule="auto"/>
        <w:ind w:left="1417" w:hanging="567"/>
        <w:contextualSpacing/>
        <w:jc w:val="both"/>
        <w:rPr>
          <w:rFonts w:ascii="Times New Roman" w:eastAsia="Calibri" w:hAnsi="Times New Roman" w:cs="Times New Roman"/>
          <w:sz w:val="24"/>
          <w:szCs w:val="24"/>
          <w:lang w:val="en-US"/>
        </w:rPr>
      </w:pPr>
      <w:r w:rsidRPr="00E735BA">
        <w:rPr>
          <w:rFonts w:ascii="Times New Roman" w:eastAsia="Calibri" w:hAnsi="Times New Roman" w:cs="Times New Roman"/>
          <w:sz w:val="24"/>
          <w:szCs w:val="24"/>
          <w:lang w:val="en-US"/>
        </w:rPr>
        <w:t>Testing and exercising is an important process, developed to determine adequacy, quality of planning, effectiveness of organizational readiness to ensure business continuity.</w:t>
      </w:r>
    </w:p>
    <w:p w:rsidR="00E735BA" w:rsidRPr="00E735BA" w:rsidRDefault="00E735BA" w:rsidP="00E735BA">
      <w:pPr>
        <w:spacing w:after="120" w:line="240" w:lineRule="auto"/>
        <w:ind w:left="720" w:firstLine="567"/>
        <w:contextualSpacing/>
        <w:jc w:val="both"/>
        <w:rPr>
          <w:rFonts w:ascii="Times New Roman" w:eastAsia="Calibri" w:hAnsi="Times New Roman" w:cs="Times New Roman"/>
          <w:sz w:val="24"/>
          <w:szCs w:val="24"/>
          <w:lang w:val="en-US"/>
        </w:rPr>
      </w:pPr>
    </w:p>
    <w:p w:rsidR="00E735BA" w:rsidRPr="00E735BA" w:rsidRDefault="00E735BA" w:rsidP="00E735BA">
      <w:pPr>
        <w:spacing w:after="120" w:line="240" w:lineRule="auto"/>
        <w:ind w:firstLine="567"/>
        <w:jc w:val="both"/>
        <w:rPr>
          <w:rFonts w:ascii="Times New Roman" w:hAnsi="Times New Roman" w:cs="Times New Roman"/>
          <w:sz w:val="24"/>
          <w:szCs w:val="24"/>
          <w:lang w:val="en-US"/>
        </w:rPr>
      </w:pPr>
      <w:r w:rsidRPr="00E735BA">
        <w:rPr>
          <w:rFonts w:ascii="Times New Roman" w:hAnsi="Times New Roman" w:cs="Times New Roman"/>
          <w:sz w:val="24"/>
          <w:szCs w:val="24"/>
          <w:lang w:val="en-US"/>
        </w:rPr>
        <w:t>According to the strategy which provides the continuity of business and the requirements of business, there are alternative platforms created in NCC (geographically dispersed spare offices), which are activated during the scenario of the main offices’ unavailability. In order to estimate the NCC’s maturity in the field of business continuity reports on key indicators of business continuity management system are made regularly and sent to the managing bodies of NCC.</w:t>
      </w:r>
    </w:p>
    <w:p w:rsidR="00E735BA" w:rsidRPr="00E735BA" w:rsidRDefault="00E735BA" w:rsidP="00E735BA">
      <w:pPr>
        <w:spacing w:after="120" w:line="240" w:lineRule="auto"/>
        <w:ind w:firstLine="567"/>
        <w:jc w:val="both"/>
        <w:rPr>
          <w:rFonts w:ascii="Times New Roman" w:hAnsi="Times New Roman" w:cs="Times New Roman"/>
          <w:sz w:val="24"/>
          <w:szCs w:val="24"/>
          <w:lang w:val="en-US"/>
        </w:rPr>
      </w:pPr>
      <w:r w:rsidRPr="00E735BA">
        <w:rPr>
          <w:rFonts w:ascii="Times New Roman" w:hAnsi="Times New Roman" w:cs="Times New Roman"/>
          <w:sz w:val="24"/>
          <w:szCs w:val="24"/>
          <w:lang w:val="en-US"/>
        </w:rPr>
        <w:t xml:space="preserve">In 2014 it is planned by </w:t>
      </w:r>
      <w:r w:rsidR="006414DB">
        <w:rPr>
          <w:rFonts w:ascii="Times New Roman" w:hAnsi="Times New Roman" w:cs="Times New Roman"/>
          <w:sz w:val="24"/>
          <w:szCs w:val="24"/>
          <w:lang w:val="en-US"/>
        </w:rPr>
        <w:t xml:space="preserve">the </w:t>
      </w:r>
      <w:r w:rsidRPr="00E735BA">
        <w:rPr>
          <w:rFonts w:ascii="Times New Roman" w:hAnsi="Times New Roman" w:cs="Times New Roman"/>
          <w:sz w:val="24"/>
          <w:szCs w:val="24"/>
          <w:lang w:val="en-US"/>
        </w:rPr>
        <w:t>operational risk management to pay more attention to processes and systems, connected to the high level of this risk including clearing systems and clients’ data. The main questions here will be the differentiation of possible non-authorized individual operations and control over provisioning of</w:t>
      </w:r>
      <w:r w:rsidR="006414DB">
        <w:rPr>
          <w:rFonts w:ascii="Times New Roman" w:hAnsi="Times New Roman" w:cs="Times New Roman"/>
          <w:sz w:val="24"/>
          <w:szCs w:val="24"/>
          <w:lang w:val="en-US"/>
        </w:rPr>
        <w:t xml:space="preserve"> the</w:t>
      </w:r>
      <w:r w:rsidRPr="00E735BA">
        <w:rPr>
          <w:rFonts w:ascii="Times New Roman" w:hAnsi="Times New Roman" w:cs="Times New Roman"/>
          <w:sz w:val="24"/>
          <w:szCs w:val="24"/>
          <w:lang w:val="en-US"/>
        </w:rPr>
        <w:t xml:space="preserve"> </w:t>
      </w:r>
      <w:r w:rsidR="001E1649">
        <w:rPr>
          <w:rFonts w:ascii="Times New Roman" w:hAnsi="Times New Roman" w:cs="Times New Roman"/>
          <w:sz w:val="24"/>
          <w:szCs w:val="24"/>
          <w:lang w:val="en-US"/>
        </w:rPr>
        <w:t xml:space="preserve">right to </w:t>
      </w:r>
      <w:r w:rsidRPr="00E735BA">
        <w:rPr>
          <w:rFonts w:ascii="Times New Roman" w:hAnsi="Times New Roman" w:cs="Times New Roman"/>
          <w:sz w:val="24"/>
          <w:szCs w:val="24"/>
          <w:lang w:val="en-US"/>
        </w:rPr>
        <w:t xml:space="preserve">access </w:t>
      </w:r>
      <w:r w:rsidR="001E1649">
        <w:rPr>
          <w:rFonts w:ascii="Times New Roman" w:hAnsi="Times New Roman" w:cs="Times New Roman"/>
          <w:sz w:val="24"/>
          <w:szCs w:val="24"/>
          <w:lang w:val="en-US"/>
        </w:rPr>
        <w:t>into</w:t>
      </w:r>
      <w:r w:rsidRPr="00E735BA">
        <w:rPr>
          <w:rFonts w:ascii="Times New Roman" w:hAnsi="Times New Roman" w:cs="Times New Roman"/>
          <w:sz w:val="24"/>
          <w:szCs w:val="24"/>
          <w:lang w:val="en-US"/>
        </w:rPr>
        <w:t xml:space="preserve"> automated systems. Besides, in terms of renovation of the most important processes in the IT sphere, development of project management, formation of complex approach to resources allocation within the Group, the main priorities of operational risk management system will be the development of proactive approach to </w:t>
      </w:r>
      <w:r w:rsidR="006414DB">
        <w:rPr>
          <w:rFonts w:ascii="Times New Roman" w:hAnsi="Times New Roman" w:cs="Times New Roman"/>
          <w:sz w:val="24"/>
          <w:szCs w:val="24"/>
          <w:lang w:val="en-US"/>
        </w:rPr>
        <w:t xml:space="preserve">the </w:t>
      </w:r>
      <w:r w:rsidRPr="00E735BA">
        <w:rPr>
          <w:rFonts w:ascii="Times New Roman" w:hAnsi="Times New Roman" w:cs="Times New Roman"/>
          <w:sz w:val="24"/>
          <w:szCs w:val="24"/>
          <w:lang w:val="en-US"/>
        </w:rPr>
        <w:t>operational risk management, improvement of methodological basis of risk level analysis and assessment and the procedures of operational risk management within the Group.</w:t>
      </w:r>
    </w:p>
    <w:p w:rsidR="00E735BA" w:rsidRPr="00E735BA" w:rsidRDefault="00E735BA" w:rsidP="009B23BD">
      <w:pPr>
        <w:pStyle w:val="af0"/>
        <w:keepNext/>
        <w:widowControl w:val="0"/>
        <w:overflowPunct w:val="0"/>
        <w:autoSpaceDE w:val="0"/>
        <w:autoSpaceDN w:val="0"/>
        <w:adjustRightInd w:val="0"/>
        <w:spacing w:before="100" w:after="120" w:line="240" w:lineRule="auto"/>
        <w:ind w:left="360"/>
        <w:textAlignment w:val="baseline"/>
        <w:outlineLvl w:val="0"/>
        <w:rPr>
          <w:rFonts w:ascii="Times New Roman" w:eastAsia="Times New Roman" w:hAnsi="Times New Roman" w:cs="Times New Roman"/>
          <w:b/>
          <w:bCs/>
          <w:kern w:val="32"/>
          <w:sz w:val="28"/>
          <w:szCs w:val="28"/>
          <w:lang w:val="en-US" w:eastAsia="ru-RU"/>
        </w:rPr>
      </w:pPr>
    </w:p>
    <w:p w:rsidR="009B23BD" w:rsidRPr="00E735BA" w:rsidRDefault="009B23BD" w:rsidP="009B23BD">
      <w:pPr>
        <w:pStyle w:val="af0"/>
        <w:keepNext/>
        <w:widowControl w:val="0"/>
        <w:overflowPunct w:val="0"/>
        <w:autoSpaceDE w:val="0"/>
        <w:autoSpaceDN w:val="0"/>
        <w:adjustRightInd w:val="0"/>
        <w:spacing w:before="100" w:after="120" w:line="240" w:lineRule="auto"/>
        <w:ind w:left="360"/>
        <w:textAlignment w:val="baseline"/>
        <w:outlineLvl w:val="0"/>
        <w:rPr>
          <w:rFonts w:ascii="Times New Roman" w:eastAsia="Times New Roman" w:hAnsi="Times New Roman" w:cs="Times New Roman"/>
          <w:b/>
          <w:bCs/>
          <w:kern w:val="32"/>
          <w:sz w:val="28"/>
          <w:szCs w:val="28"/>
          <w:lang w:val="en-US" w:eastAsia="ru-RU"/>
        </w:rPr>
      </w:pPr>
    </w:p>
    <w:p w:rsidR="009B23BD" w:rsidRPr="00961E31" w:rsidRDefault="009B23BD" w:rsidP="009B23BD">
      <w:pPr>
        <w:tabs>
          <w:tab w:val="num" w:pos="567"/>
          <w:tab w:val="left" w:pos="600"/>
        </w:tabs>
        <w:spacing w:before="100" w:after="120" w:line="240" w:lineRule="auto"/>
        <w:jc w:val="center"/>
        <w:rPr>
          <w:rFonts w:ascii="Times New Roman" w:eastAsia="MS Mincho" w:hAnsi="Times New Roman" w:cs="Times New Roman"/>
          <w:b/>
          <w:sz w:val="24"/>
          <w:szCs w:val="24"/>
          <w:lang w:val="en-US" w:eastAsia="ja-JP"/>
        </w:rPr>
      </w:pPr>
      <w:r w:rsidRPr="00961E31">
        <w:rPr>
          <w:rFonts w:ascii="Times New Roman" w:eastAsia="MS Mincho" w:hAnsi="Times New Roman" w:cs="Times New Roman"/>
          <w:b/>
          <w:sz w:val="24"/>
          <w:szCs w:val="24"/>
          <w:lang w:val="en-US" w:eastAsia="ja-JP"/>
        </w:rPr>
        <w:t>Legal risk management</w:t>
      </w:r>
    </w:p>
    <w:p w:rsidR="009B23BD" w:rsidRPr="00961E31" w:rsidRDefault="009B23BD" w:rsidP="009B23BD">
      <w:pPr>
        <w:tabs>
          <w:tab w:val="num" w:pos="567"/>
          <w:tab w:val="left" w:pos="600"/>
        </w:tabs>
        <w:spacing w:after="120" w:line="240" w:lineRule="auto"/>
        <w:ind w:firstLine="567"/>
        <w:jc w:val="both"/>
        <w:rPr>
          <w:rFonts w:ascii="Times New Roman" w:eastAsia="MS Mincho" w:hAnsi="Times New Roman" w:cs="Times New Roman"/>
          <w:sz w:val="24"/>
          <w:szCs w:val="24"/>
          <w:lang w:val="en-US" w:eastAsia="ja-JP"/>
        </w:rPr>
      </w:pPr>
    </w:p>
    <w:p w:rsidR="009B23BD" w:rsidRPr="00961E31" w:rsidRDefault="0076634E" w:rsidP="009B23BD">
      <w:pPr>
        <w:tabs>
          <w:tab w:val="num" w:pos="567"/>
          <w:tab w:val="left" w:pos="600"/>
        </w:tabs>
        <w:spacing w:after="120" w:line="240" w:lineRule="auto"/>
        <w:ind w:firstLine="567"/>
        <w:jc w:val="both"/>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t>The</w:t>
      </w:r>
      <w:r w:rsidR="009B23BD">
        <w:rPr>
          <w:rFonts w:ascii="Times New Roman" w:eastAsia="MS Mincho" w:hAnsi="Times New Roman" w:cs="Times New Roman"/>
          <w:sz w:val="24"/>
          <w:szCs w:val="24"/>
          <w:lang w:val="en-US" w:eastAsia="ja-JP"/>
        </w:rPr>
        <w:t xml:space="preserve"> l</w:t>
      </w:r>
      <w:r w:rsidR="009B23BD" w:rsidRPr="00961E31">
        <w:rPr>
          <w:rFonts w:ascii="Times New Roman" w:eastAsia="MS Mincho" w:hAnsi="Times New Roman" w:cs="Times New Roman"/>
          <w:sz w:val="24"/>
          <w:szCs w:val="24"/>
          <w:lang w:val="en-US" w:eastAsia="ja-JP"/>
        </w:rPr>
        <w:t>egal risk management is realized in</w:t>
      </w:r>
      <w:r w:rsidR="00970843">
        <w:rPr>
          <w:rFonts w:ascii="Times New Roman" w:eastAsia="MS Mincho" w:hAnsi="Times New Roman" w:cs="Times New Roman"/>
          <w:sz w:val="24"/>
          <w:szCs w:val="24"/>
          <w:lang w:val="en-US" w:eastAsia="ja-JP"/>
        </w:rPr>
        <w:t xml:space="preserve"> </w:t>
      </w:r>
      <w:r w:rsidR="009B23BD" w:rsidRPr="00961E31">
        <w:rPr>
          <w:rFonts w:ascii="Times New Roman" w:hAnsi="Times New Roman" w:cs="Times New Roman"/>
          <w:sz w:val="24"/>
          <w:szCs w:val="24"/>
          <w:lang w:val="en-US"/>
        </w:rPr>
        <w:t>National Clearing Centre</w:t>
      </w:r>
      <w:r w:rsidR="009B23BD" w:rsidRPr="00961E31">
        <w:rPr>
          <w:rFonts w:ascii="Times New Roman" w:eastAsia="MS Mincho" w:hAnsi="Times New Roman" w:cs="Times New Roman"/>
          <w:sz w:val="24"/>
          <w:szCs w:val="24"/>
          <w:lang w:val="en-US" w:eastAsia="ja-JP"/>
        </w:rPr>
        <w:t xml:space="preserve"> </w:t>
      </w:r>
      <w:r w:rsidR="009B23BD">
        <w:rPr>
          <w:rFonts w:ascii="Times New Roman" w:eastAsia="MS Mincho" w:hAnsi="Times New Roman" w:cs="Times New Roman"/>
          <w:sz w:val="24"/>
          <w:szCs w:val="24"/>
          <w:lang w:val="en-US" w:eastAsia="ja-JP"/>
        </w:rPr>
        <w:t>taking into consideration</w:t>
      </w:r>
      <w:r w:rsidR="009B23BD" w:rsidRPr="00961E31">
        <w:rPr>
          <w:rFonts w:ascii="Times New Roman" w:eastAsia="MS Mincho" w:hAnsi="Times New Roman" w:cs="Times New Roman"/>
          <w:sz w:val="24"/>
          <w:szCs w:val="24"/>
          <w:lang w:val="en-US" w:eastAsia="ja-JP"/>
        </w:rPr>
        <w:t xml:space="preserve"> NCC’s activities specificity, combining functions of the central counterparty and clearing institution with the banking activities. Special attention is paid </w:t>
      </w:r>
      <w:r w:rsidR="009B23BD">
        <w:rPr>
          <w:rFonts w:ascii="Times New Roman" w:eastAsia="MS Mincho" w:hAnsi="Times New Roman" w:cs="Times New Roman"/>
          <w:sz w:val="24"/>
          <w:szCs w:val="24"/>
          <w:lang w:val="en-US" w:eastAsia="ja-JP"/>
        </w:rPr>
        <w:t>to the</w:t>
      </w:r>
      <w:r w:rsidR="009B23BD" w:rsidRPr="00961E31">
        <w:rPr>
          <w:rFonts w:ascii="Times New Roman" w:eastAsia="MS Mincho" w:hAnsi="Times New Roman" w:cs="Times New Roman"/>
          <w:sz w:val="24"/>
          <w:szCs w:val="24"/>
          <w:lang w:val="en-US" w:eastAsia="ja-JP"/>
        </w:rPr>
        <w:t xml:space="preserve"> measures taken to minimize the legal risk during the NCC’s performance as the central counterparty.</w:t>
      </w:r>
    </w:p>
    <w:p w:rsidR="009B23BD" w:rsidRPr="00961E31" w:rsidRDefault="009B23BD" w:rsidP="009B23BD">
      <w:pPr>
        <w:tabs>
          <w:tab w:val="num" w:pos="567"/>
          <w:tab w:val="left" w:pos="600"/>
        </w:tabs>
        <w:spacing w:after="120" w:line="240" w:lineRule="auto"/>
        <w:ind w:firstLine="567"/>
        <w:jc w:val="both"/>
        <w:rPr>
          <w:rFonts w:ascii="Times New Roman" w:eastAsia="MS Mincho" w:hAnsi="Times New Roman" w:cs="Times New Roman"/>
          <w:sz w:val="24"/>
          <w:szCs w:val="24"/>
          <w:lang w:val="en-US" w:eastAsia="ja-JP"/>
        </w:rPr>
      </w:pPr>
      <w:r w:rsidRPr="00961E31">
        <w:rPr>
          <w:rFonts w:ascii="Times New Roman" w:eastAsia="MS Mincho" w:hAnsi="Times New Roman" w:cs="Times New Roman"/>
          <w:sz w:val="24"/>
          <w:szCs w:val="24"/>
          <w:lang w:val="en-US" w:eastAsia="ja-JP"/>
        </w:rPr>
        <w:t xml:space="preserve">In order to improve </w:t>
      </w:r>
      <w:r w:rsidR="0076634E">
        <w:rPr>
          <w:rFonts w:ascii="Times New Roman" w:eastAsia="MS Mincho" w:hAnsi="Times New Roman" w:cs="Times New Roman"/>
          <w:sz w:val="24"/>
          <w:szCs w:val="24"/>
          <w:lang w:val="en-US" w:eastAsia="ja-JP"/>
        </w:rPr>
        <w:t>the</w:t>
      </w:r>
      <w:r>
        <w:rPr>
          <w:rFonts w:ascii="Times New Roman" w:eastAsia="MS Mincho" w:hAnsi="Times New Roman" w:cs="Times New Roman"/>
          <w:sz w:val="24"/>
          <w:szCs w:val="24"/>
          <w:lang w:val="en-US" w:eastAsia="ja-JP"/>
        </w:rPr>
        <w:t xml:space="preserve"> </w:t>
      </w:r>
      <w:r w:rsidRPr="00961E31">
        <w:rPr>
          <w:rFonts w:ascii="Times New Roman" w:eastAsia="MS Mincho" w:hAnsi="Times New Roman" w:cs="Times New Roman"/>
          <w:sz w:val="24"/>
          <w:szCs w:val="24"/>
          <w:lang w:val="en-US" w:eastAsia="ja-JP"/>
        </w:rPr>
        <w:t>legal risk management and the work aimed at minimiz</w:t>
      </w:r>
      <w:r>
        <w:rPr>
          <w:rFonts w:ascii="Times New Roman" w:eastAsia="MS Mincho" w:hAnsi="Times New Roman" w:cs="Times New Roman"/>
          <w:sz w:val="24"/>
          <w:szCs w:val="24"/>
          <w:lang w:val="en-US" w:eastAsia="ja-JP"/>
        </w:rPr>
        <w:t>ing</w:t>
      </w:r>
      <w:r w:rsidRPr="00961E31">
        <w:rPr>
          <w:rFonts w:ascii="Times New Roman" w:eastAsia="MS Mincho" w:hAnsi="Times New Roman" w:cs="Times New Roman"/>
          <w:sz w:val="24"/>
          <w:szCs w:val="24"/>
          <w:lang w:val="en-US" w:eastAsia="ja-JP"/>
        </w:rPr>
        <w:t xml:space="preserve"> this kind of risk in 2013 NCC </w:t>
      </w:r>
      <w:r>
        <w:rPr>
          <w:rFonts w:ascii="Times New Roman" w:eastAsia="MS Mincho" w:hAnsi="Times New Roman" w:cs="Times New Roman"/>
          <w:sz w:val="24"/>
          <w:szCs w:val="24"/>
          <w:lang w:val="en-US" w:eastAsia="ja-JP"/>
        </w:rPr>
        <w:t xml:space="preserve">adopted </w:t>
      </w:r>
      <w:r w:rsidRPr="00961E31">
        <w:rPr>
          <w:rFonts w:ascii="Times New Roman" w:eastAsia="MS Mincho" w:hAnsi="Times New Roman" w:cs="Times New Roman"/>
          <w:sz w:val="24"/>
          <w:szCs w:val="24"/>
          <w:lang w:val="en-US" w:eastAsia="ja-JP"/>
        </w:rPr>
        <w:t xml:space="preserve">the Regulation “About legal risk management organization in </w:t>
      </w:r>
      <w:r w:rsidRPr="00961E31">
        <w:rPr>
          <w:rFonts w:ascii="Times New Roman" w:hAnsi="Times New Roman" w:cs="Times New Roman"/>
          <w:sz w:val="24"/>
          <w:szCs w:val="24"/>
          <w:lang w:val="en-US"/>
        </w:rPr>
        <w:t>CJSC JSCB National Clearing Centre</w:t>
      </w:r>
      <w:r w:rsidRPr="00961E31">
        <w:rPr>
          <w:rFonts w:ascii="Times New Roman" w:eastAsia="MS Mincho" w:hAnsi="Times New Roman" w:cs="Times New Roman"/>
          <w:sz w:val="24"/>
          <w:szCs w:val="24"/>
          <w:lang w:val="en-US" w:eastAsia="ja-JP"/>
        </w:rPr>
        <w:t xml:space="preserve">" and </w:t>
      </w:r>
      <w:r>
        <w:rPr>
          <w:rFonts w:ascii="Times New Roman" w:eastAsia="MS Mincho" w:hAnsi="Times New Roman" w:cs="Times New Roman"/>
          <w:sz w:val="24"/>
          <w:szCs w:val="24"/>
          <w:lang w:val="en-US" w:eastAsia="ja-JP"/>
        </w:rPr>
        <w:t xml:space="preserve">an </w:t>
      </w:r>
      <w:r w:rsidRPr="00961E31">
        <w:rPr>
          <w:rFonts w:ascii="Times New Roman" w:eastAsia="MS Mincho" w:hAnsi="Times New Roman" w:cs="Times New Roman"/>
          <w:sz w:val="24"/>
          <w:szCs w:val="24"/>
          <w:lang w:val="en-US" w:eastAsia="ja-JP"/>
        </w:rPr>
        <w:t xml:space="preserve">amendment to this document, and also the </w:t>
      </w:r>
      <w:r>
        <w:rPr>
          <w:rFonts w:ascii="Times New Roman" w:eastAsia="MS Mincho" w:hAnsi="Times New Roman" w:cs="Times New Roman"/>
          <w:sz w:val="24"/>
          <w:szCs w:val="24"/>
          <w:lang w:val="en-US" w:eastAsia="ja-JP"/>
        </w:rPr>
        <w:t>Position description</w:t>
      </w:r>
      <w:r w:rsidRPr="00961E31">
        <w:rPr>
          <w:rFonts w:ascii="Times New Roman" w:eastAsia="MS Mincho" w:hAnsi="Times New Roman" w:cs="Times New Roman"/>
          <w:sz w:val="24"/>
          <w:szCs w:val="24"/>
          <w:lang w:val="en-US" w:eastAsia="ja-JP"/>
        </w:rPr>
        <w:t xml:space="preserve"> of CEO’s </w:t>
      </w:r>
      <w:r>
        <w:rPr>
          <w:rFonts w:ascii="Times New Roman" w:eastAsia="MS Mincho" w:hAnsi="Times New Roman" w:cs="Times New Roman"/>
          <w:sz w:val="24"/>
          <w:szCs w:val="24"/>
          <w:lang w:val="en-US" w:eastAsia="ja-JP"/>
        </w:rPr>
        <w:t>Adviser</w:t>
      </w:r>
      <w:r w:rsidRPr="00961E31">
        <w:rPr>
          <w:rFonts w:ascii="Times New Roman" w:eastAsia="MS Mincho" w:hAnsi="Times New Roman" w:cs="Times New Roman"/>
          <w:sz w:val="24"/>
          <w:szCs w:val="24"/>
          <w:lang w:val="en-US" w:eastAsia="ja-JP"/>
        </w:rPr>
        <w:t xml:space="preserve"> of </w:t>
      </w:r>
      <w:r w:rsidRPr="00961E31">
        <w:rPr>
          <w:rFonts w:ascii="Times New Roman" w:hAnsi="Times New Roman" w:cs="Times New Roman"/>
          <w:sz w:val="24"/>
          <w:szCs w:val="24"/>
          <w:lang w:val="en-US"/>
        </w:rPr>
        <w:t>CJSC JSCB National Clearing Centre</w:t>
      </w:r>
      <w:r w:rsidRPr="00961E31">
        <w:rPr>
          <w:rFonts w:ascii="Times New Roman" w:eastAsia="MS Mincho" w:hAnsi="Times New Roman" w:cs="Times New Roman"/>
          <w:sz w:val="24"/>
          <w:szCs w:val="24"/>
          <w:lang w:val="en-US" w:eastAsia="ja-JP"/>
        </w:rPr>
        <w:t xml:space="preserve">, who </w:t>
      </w:r>
      <w:r>
        <w:rPr>
          <w:rFonts w:ascii="Times New Roman" w:eastAsia="MS Mincho" w:hAnsi="Times New Roman" w:cs="Times New Roman"/>
          <w:sz w:val="24"/>
          <w:szCs w:val="24"/>
          <w:lang w:val="en-US" w:eastAsia="ja-JP"/>
        </w:rPr>
        <w:t>manages the</w:t>
      </w:r>
      <w:r w:rsidRPr="00961E31">
        <w:rPr>
          <w:rFonts w:ascii="Times New Roman" w:eastAsia="MS Mincho" w:hAnsi="Times New Roman" w:cs="Times New Roman"/>
          <w:sz w:val="24"/>
          <w:szCs w:val="24"/>
          <w:lang w:val="en-US" w:eastAsia="ja-JP"/>
        </w:rPr>
        <w:t xml:space="preserve"> legal risk</w:t>
      </w:r>
      <w:r>
        <w:rPr>
          <w:rFonts w:ascii="Times New Roman" w:eastAsia="MS Mincho" w:hAnsi="Times New Roman" w:cs="Times New Roman"/>
          <w:sz w:val="24"/>
          <w:szCs w:val="24"/>
          <w:lang w:val="en-US" w:eastAsia="ja-JP"/>
        </w:rPr>
        <w:t>.</w:t>
      </w:r>
      <w:r w:rsidRPr="00961E31">
        <w:rPr>
          <w:rFonts w:ascii="Times New Roman" w:eastAsia="MS Mincho" w:hAnsi="Times New Roman" w:cs="Times New Roman"/>
          <w:sz w:val="24"/>
          <w:szCs w:val="24"/>
          <w:lang w:val="en-US" w:eastAsia="ja-JP"/>
        </w:rPr>
        <w:t xml:space="preserve"> </w:t>
      </w:r>
    </w:p>
    <w:p w:rsidR="009B23BD" w:rsidRPr="00961E31" w:rsidRDefault="0076634E" w:rsidP="009B23BD">
      <w:pPr>
        <w:tabs>
          <w:tab w:val="num" w:pos="567"/>
          <w:tab w:val="left" w:pos="600"/>
        </w:tabs>
        <w:spacing w:after="120" w:line="240" w:lineRule="auto"/>
        <w:ind w:firstLine="567"/>
        <w:jc w:val="both"/>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t xml:space="preserve">The </w:t>
      </w:r>
      <w:r w:rsidR="009B23BD">
        <w:rPr>
          <w:rFonts w:ascii="Times New Roman" w:eastAsia="MS Mincho" w:hAnsi="Times New Roman" w:cs="Times New Roman"/>
          <w:sz w:val="24"/>
          <w:szCs w:val="24"/>
          <w:lang w:val="en-US" w:eastAsia="ja-JP"/>
        </w:rPr>
        <w:t>l</w:t>
      </w:r>
      <w:r w:rsidR="009B23BD" w:rsidRPr="00961E31">
        <w:rPr>
          <w:rFonts w:ascii="Times New Roman" w:eastAsia="MS Mincho" w:hAnsi="Times New Roman" w:cs="Times New Roman"/>
          <w:sz w:val="24"/>
          <w:szCs w:val="24"/>
          <w:lang w:val="en-US" w:eastAsia="ja-JP"/>
        </w:rPr>
        <w:t xml:space="preserve">egal risk management process implies </w:t>
      </w:r>
      <w:r w:rsidR="009B23BD">
        <w:rPr>
          <w:rFonts w:ascii="Times New Roman" w:eastAsia="MS Mincho" w:hAnsi="Times New Roman" w:cs="Times New Roman"/>
          <w:sz w:val="24"/>
          <w:szCs w:val="24"/>
          <w:lang w:val="en-US" w:eastAsia="ja-JP"/>
        </w:rPr>
        <w:t xml:space="preserve">the </w:t>
      </w:r>
      <w:r w:rsidR="009B23BD" w:rsidRPr="00961E31">
        <w:rPr>
          <w:rFonts w:ascii="Times New Roman" w:eastAsia="MS Mincho" w:hAnsi="Times New Roman" w:cs="Times New Roman"/>
          <w:sz w:val="24"/>
          <w:szCs w:val="24"/>
          <w:lang w:val="en-US" w:eastAsia="ja-JP"/>
        </w:rPr>
        <w:t xml:space="preserve">division of powers between different levels of NCC’s managing bodies, and also </w:t>
      </w:r>
      <w:r w:rsidR="009B23BD">
        <w:rPr>
          <w:rFonts w:ascii="Times New Roman" w:eastAsia="MS Mincho" w:hAnsi="Times New Roman" w:cs="Times New Roman"/>
          <w:sz w:val="24"/>
          <w:szCs w:val="24"/>
          <w:lang w:val="en-US" w:eastAsia="ja-JP"/>
        </w:rPr>
        <w:t>between</w:t>
      </w:r>
      <w:r w:rsidR="009B23BD" w:rsidRPr="00961E31">
        <w:rPr>
          <w:rFonts w:ascii="Times New Roman" w:eastAsia="MS Mincho" w:hAnsi="Times New Roman" w:cs="Times New Roman"/>
          <w:sz w:val="24"/>
          <w:szCs w:val="24"/>
          <w:lang w:val="en-US" w:eastAsia="ja-JP"/>
        </w:rPr>
        <w:t xml:space="preserve"> structural departments and employees of NCC. The system of authorities to make decisions in the legal risk management process and control over </w:t>
      </w:r>
      <w:r>
        <w:rPr>
          <w:rFonts w:ascii="Times New Roman" w:eastAsia="MS Mincho" w:hAnsi="Times New Roman" w:cs="Times New Roman"/>
          <w:sz w:val="24"/>
          <w:szCs w:val="24"/>
          <w:lang w:val="en-US" w:eastAsia="ja-JP"/>
        </w:rPr>
        <w:t xml:space="preserve">the </w:t>
      </w:r>
      <w:r w:rsidR="009B23BD" w:rsidRPr="00961E31">
        <w:rPr>
          <w:rFonts w:ascii="Times New Roman" w:eastAsia="MS Mincho" w:hAnsi="Times New Roman" w:cs="Times New Roman"/>
          <w:sz w:val="24"/>
          <w:szCs w:val="24"/>
          <w:lang w:val="en-US" w:eastAsia="ja-JP"/>
        </w:rPr>
        <w:t>legal risk management effectiveness contains several levels: the first – the NCC’s Supervisory  Board and the Risk Committee of the NCC’s Supervisory Board, the second – NCC’s Executive Board, the CEO, the third – Authorized employee on Legal matters, Legal department, Internal Control Service, Accountant, the Department of risk analysis and control, Financial monitoring service; the forth – other departments.</w:t>
      </w:r>
    </w:p>
    <w:p w:rsidR="009B23BD" w:rsidRPr="00961E31" w:rsidRDefault="009B23BD" w:rsidP="009B23BD">
      <w:pPr>
        <w:tabs>
          <w:tab w:val="num" w:pos="567"/>
          <w:tab w:val="left" w:pos="600"/>
        </w:tabs>
        <w:spacing w:after="120" w:line="240" w:lineRule="auto"/>
        <w:ind w:firstLine="567"/>
        <w:jc w:val="both"/>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t xml:space="preserve">The </w:t>
      </w:r>
      <w:r w:rsidRPr="00961E31">
        <w:rPr>
          <w:rFonts w:ascii="Times New Roman" w:eastAsia="MS Mincho" w:hAnsi="Times New Roman" w:cs="Times New Roman"/>
          <w:sz w:val="24"/>
          <w:szCs w:val="24"/>
          <w:lang w:val="en-US" w:eastAsia="ja-JP"/>
        </w:rPr>
        <w:t xml:space="preserve">Bank has appointed an Authorized Employee on legal matters, who </w:t>
      </w:r>
      <w:r>
        <w:rPr>
          <w:rFonts w:ascii="Times New Roman" w:eastAsia="MS Mincho" w:hAnsi="Times New Roman" w:cs="Times New Roman"/>
          <w:sz w:val="24"/>
          <w:szCs w:val="24"/>
          <w:lang w:val="en-US" w:eastAsia="ja-JP"/>
        </w:rPr>
        <w:t>manages</w:t>
      </w:r>
      <w:r w:rsidRPr="00961E31">
        <w:rPr>
          <w:rFonts w:ascii="Times New Roman" w:eastAsia="MS Mincho" w:hAnsi="Times New Roman" w:cs="Times New Roman"/>
          <w:sz w:val="24"/>
          <w:szCs w:val="24"/>
          <w:lang w:val="en-US" w:eastAsia="ja-JP"/>
        </w:rPr>
        <w:t xml:space="preserve"> </w:t>
      </w:r>
      <w:r w:rsidR="0076634E">
        <w:rPr>
          <w:rFonts w:ascii="Times New Roman" w:eastAsia="MS Mincho" w:hAnsi="Times New Roman" w:cs="Times New Roman"/>
          <w:sz w:val="24"/>
          <w:szCs w:val="24"/>
          <w:lang w:val="en-US" w:eastAsia="ja-JP"/>
        </w:rPr>
        <w:t xml:space="preserve">the </w:t>
      </w:r>
      <w:r w:rsidRPr="00961E31">
        <w:rPr>
          <w:rFonts w:ascii="Times New Roman" w:eastAsia="MS Mincho" w:hAnsi="Times New Roman" w:cs="Times New Roman"/>
          <w:sz w:val="24"/>
          <w:szCs w:val="24"/>
          <w:lang w:val="en-US" w:eastAsia="ja-JP"/>
        </w:rPr>
        <w:t xml:space="preserve">legal </w:t>
      </w:r>
      <w:proofErr w:type="gramStart"/>
      <w:r w:rsidRPr="00961E31">
        <w:rPr>
          <w:rFonts w:ascii="Times New Roman" w:eastAsia="MS Mincho" w:hAnsi="Times New Roman" w:cs="Times New Roman"/>
          <w:sz w:val="24"/>
          <w:szCs w:val="24"/>
          <w:lang w:val="en-US" w:eastAsia="ja-JP"/>
        </w:rPr>
        <w:t>risk  and</w:t>
      </w:r>
      <w:proofErr w:type="gramEnd"/>
      <w:r w:rsidRPr="00961E31">
        <w:rPr>
          <w:rFonts w:ascii="Times New Roman" w:eastAsia="MS Mincho" w:hAnsi="Times New Roman" w:cs="Times New Roman"/>
          <w:sz w:val="24"/>
          <w:szCs w:val="24"/>
          <w:lang w:val="en-US" w:eastAsia="ja-JP"/>
        </w:rPr>
        <w:t xml:space="preserve"> the work of legal risk minimization. The Authorized Employee on legal matters is independent from departments, making operations (transactions), </w:t>
      </w:r>
      <w:r>
        <w:rPr>
          <w:rFonts w:ascii="Times New Roman" w:eastAsia="MS Mincho" w:hAnsi="Times New Roman" w:cs="Times New Roman"/>
          <w:sz w:val="24"/>
          <w:szCs w:val="24"/>
          <w:lang w:val="en-US" w:eastAsia="ja-JP"/>
        </w:rPr>
        <w:t>related with</w:t>
      </w:r>
      <w:r w:rsidRPr="00961E31">
        <w:rPr>
          <w:rFonts w:ascii="Times New Roman" w:eastAsia="MS Mincho" w:hAnsi="Times New Roman" w:cs="Times New Roman"/>
          <w:sz w:val="24"/>
          <w:szCs w:val="24"/>
          <w:lang w:val="en-US" w:eastAsia="ja-JP"/>
        </w:rPr>
        <w:t xml:space="preserve"> the </w:t>
      </w:r>
      <w:r>
        <w:rPr>
          <w:rFonts w:ascii="Times New Roman" w:eastAsia="MS Mincho" w:hAnsi="Times New Roman" w:cs="Times New Roman"/>
          <w:sz w:val="24"/>
          <w:szCs w:val="24"/>
          <w:lang w:val="en-US" w:eastAsia="ja-JP"/>
        </w:rPr>
        <w:t xml:space="preserve">assumption </w:t>
      </w:r>
      <w:r w:rsidRPr="00961E31">
        <w:rPr>
          <w:rFonts w:ascii="Times New Roman" w:eastAsia="MS Mincho" w:hAnsi="Times New Roman" w:cs="Times New Roman"/>
          <w:sz w:val="24"/>
          <w:szCs w:val="24"/>
          <w:lang w:val="en-US" w:eastAsia="ja-JP"/>
        </w:rPr>
        <w:t>of legal risk, namely from Legal department, Internal Control Service.</w:t>
      </w:r>
    </w:p>
    <w:p w:rsidR="009B23BD" w:rsidRPr="00961E31" w:rsidRDefault="009B23BD" w:rsidP="009B23BD">
      <w:pPr>
        <w:tabs>
          <w:tab w:val="num" w:pos="567"/>
          <w:tab w:val="left" w:pos="600"/>
        </w:tabs>
        <w:spacing w:after="120" w:line="240" w:lineRule="auto"/>
        <w:ind w:firstLine="567"/>
        <w:jc w:val="both"/>
        <w:rPr>
          <w:rFonts w:ascii="Times New Roman" w:eastAsia="MS Mincho" w:hAnsi="Times New Roman" w:cs="Times New Roman"/>
          <w:sz w:val="24"/>
          <w:szCs w:val="24"/>
          <w:lang w:val="en-US" w:eastAsia="ja-JP"/>
        </w:rPr>
      </w:pPr>
      <w:r w:rsidRPr="00961E31">
        <w:rPr>
          <w:rFonts w:ascii="Times New Roman" w:eastAsia="MS Mincho" w:hAnsi="Times New Roman" w:cs="Times New Roman"/>
          <w:sz w:val="24"/>
          <w:szCs w:val="24"/>
          <w:lang w:val="en-US" w:eastAsia="ja-JP"/>
        </w:rPr>
        <w:t xml:space="preserve">An Authorized Employee on legal matters on a regular basis conducts monitoring of the current legislation of Russian Federation, prepares overviews of changes in current Russian legislation, concerning the NCC’s activity. Overviews of changes in legislation are sent to all interested structural departments. Managers of all these departments provide prompt implementation of changes into their internal NCC’s documents, considering the changes in the current legislation of Russian Federation. </w:t>
      </w:r>
    </w:p>
    <w:p w:rsidR="009B23BD" w:rsidRPr="00961E31" w:rsidRDefault="009B23BD" w:rsidP="009B23BD">
      <w:pPr>
        <w:tabs>
          <w:tab w:val="num" w:pos="567"/>
          <w:tab w:val="left" w:pos="600"/>
        </w:tabs>
        <w:spacing w:after="120" w:line="240" w:lineRule="auto"/>
        <w:ind w:firstLine="567"/>
        <w:jc w:val="both"/>
        <w:rPr>
          <w:rFonts w:ascii="Times New Roman" w:eastAsia="MS Mincho" w:hAnsi="Times New Roman" w:cs="Times New Roman"/>
          <w:sz w:val="24"/>
          <w:szCs w:val="24"/>
          <w:lang w:val="en-US" w:eastAsia="ja-JP"/>
        </w:rPr>
      </w:pPr>
      <w:r w:rsidRPr="00961E31">
        <w:rPr>
          <w:rFonts w:ascii="Times New Roman" w:eastAsia="MS Mincho" w:hAnsi="Times New Roman" w:cs="Times New Roman"/>
          <w:sz w:val="24"/>
          <w:szCs w:val="24"/>
          <w:lang w:val="en-US" w:eastAsia="ja-JP"/>
        </w:rPr>
        <w:t>In accordance with the NCC’s internal documents an acquisition and analysis of information about the facts of legal risk realization</w:t>
      </w:r>
      <w:r>
        <w:rPr>
          <w:rFonts w:ascii="Times New Roman" w:eastAsia="MS Mincho" w:hAnsi="Times New Roman" w:cs="Times New Roman"/>
          <w:sz w:val="24"/>
          <w:szCs w:val="24"/>
          <w:lang w:val="en-US" w:eastAsia="ja-JP"/>
        </w:rPr>
        <w:t xml:space="preserve"> is carried out</w:t>
      </w:r>
      <w:r w:rsidRPr="00961E31">
        <w:rPr>
          <w:rFonts w:ascii="Times New Roman" w:eastAsia="MS Mincho" w:hAnsi="Times New Roman" w:cs="Times New Roman"/>
          <w:sz w:val="24"/>
          <w:szCs w:val="24"/>
          <w:lang w:val="en-US" w:eastAsia="ja-JP"/>
        </w:rPr>
        <w:t xml:space="preserve">. The Authorized Employee on legal matters quarterly prepared analytical reports on legal risk events and provided them to the Chairman of the Board. From the third quarter </w:t>
      </w:r>
      <w:r>
        <w:rPr>
          <w:rFonts w:ascii="Times New Roman" w:eastAsia="MS Mincho" w:hAnsi="Times New Roman" w:cs="Times New Roman"/>
          <w:sz w:val="24"/>
          <w:szCs w:val="24"/>
          <w:lang w:val="en-US" w:eastAsia="ja-JP"/>
        </w:rPr>
        <w:t xml:space="preserve">of </w:t>
      </w:r>
      <w:r w:rsidRPr="00961E31">
        <w:rPr>
          <w:rFonts w:ascii="Times New Roman" w:eastAsia="MS Mincho" w:hAnsi="Times New Roman" w:cs="Times New Roman"/>
          <w:sz w:val="24"/>
          <w:szCs w:val="24"/>
          <w:lang w:val="en-US" w:eastAsia="ja-JP"/>
        </w:rPr>
        <w:t xml:space="preserve">2013 on, according to </w:t>
      </w:r>
      <w:r>
        <w:rPr>
          <w:rFonts w:ascii="Times New Roman" w:eastAsia="MS Mincho" w:hAnsi="Times New Roman" w:cs="Times New Roman"/>
          <w:sz w:val="24"/>
          <w:szCs w:val="24"/>
          <w:lang w:val="en-US" w:eastAsia="ja-JP"/>
        </w:rPr>
        <w:t xml:space="preserve">the </w:t>
      </w:r>
      <w:r w:rsidRPr="00961E31">
        <w:rPr>
          <w:rFonts w:ascii="Times New Roman" w:eastAsia="MS Mincho" w:hAnsi="Times New Roman" w:cs="Times New Roman"/>
          <w:sz w:val="24"/>
          <w:szCs w:val="24"/>
          <w:lang w:val="en-US" w:eastAsia="ja-JP"/>
        </w:rPr>
        <w:t xml:space="preserve">recommendations of </w:t>
      </w:r>
      <w:proofErr w:type="gramStart"/>
      <w:r w:rsidRPr="00961E31">
        <w:rPr>
          <w:rFonts w:ascii="Times New Roman" w:eastAsia="MS Mincho" w:hAnsi="Times New Roman" w:cs="Times New Roman"/>
          <w:sz w:val="24"/>
          <w:szCs w:val="24"/>
          <w:lang w:val="en-US" w:eastAsia="ja-JP"/>
        </w:rPr>
        <w:t>Internal</w:t>
      </w:r>
      <w:proofErr w:type="gramEnd"/>
      <w:r w:rsidRPr="00961E31">
        <w:rPr>
          <w:rFonts w:ascii="Times New Roman" w:eastAsia="MS Mincho" w:hAnsi="Times New Roman" w:cs="Times New Roman"/>
          <w:sz w:val="24"/>
          <w:szCs w:val="24"/>
          <w:lang w:val="en-US" w:eastAsia="ja-JP"/>
        </w:rPr>
        <w:t xml:space="preserve"> control service, </w:t>
      </w:r>
      <w:r>
        <w:rPr>
          <w:rFonts w:ascii="Times New Roman" w:eastAsia="MS Mincho" w:hAnsi="Times New Roman" w:cs="Times New Roman"/>
          <w:sz w:val="24"/>
          <w:szCs w:val="24"/>
          <w:lang w:val="en-US" w:eastAsia="ja-JP"/>
        </w:rPr>
        <w:t xml:space="preserve">the </w:t>
      </w:r>
      <w:r w:rsidRPr="00961E31">
        <w:rPr>
          <w:rFonts w:ascii="Times New Roman" w:eastAsia="MS Mincho" w:hAnsi="Times New Roman" w:cs="Times New Roman"/>
          <w:sz w:val="24"/>
          <w:szCs w:val="24"/>
          <w:lang w:val="en-US" w:eastAsia="ja-JP"/>
        </w:rPr>
        <w:t xml:space="preserve">analytical report is </w:t>
      </w:r>
      <w:r>
        <w:rPr>
          <w:rFonts w:ascii="Times New Roman" w:eastAsia="MS Mincho" w:hAnsi="Times New Roman" w:cs="Times New Roman"/>
          <w:sz w:val="24"/>
          <w:szCs w:val="24"/>
          <w:lang w:val="en-US" w:eastAsia="ja-JP"/>
        </w:rPr>
        <w:t>delivered t</w:t>
      </w:r>
      <w:r w:rsidRPr="00961E31">
        <w:rPr>
          <w:rFonts w:ascii="Times New Roman" w:eastAsia="MS Mincho" w:hAnsi="Times New Roman" w:cs="Times New Roman"/>
          <w:sz w:val="24"/>
          <w:szCs w:val="24"/>
          <w:lang w:val="en-US" w:eastAsia="ja-JP"/>
        </w:rPr>
        <w:t xml:space="preserve">o the account and approval of Bank directors. </w:t>
      </w:r>
      <w:r w:rsidR="0076634E">
        <w:rPr>
          <w:rFonts w:ascii="Times New Roman" w:eastAsia="MS Mincho" w:hAnsi="Times New Roman" w:cs="Times New Roman"/>
          <w:sz w:val="24"/>
          <w:szCs w:val="24"/>
          <w:lang w:val="en-US" w:eastAsia="ja-JP"/>
        </w:rPr>
        <w:t>The a</w:t>
      </w:r>
      <w:r w:rsidRPr="00961E31">
        <w:rPr>
          <w:rFonts w:ascii="Times New Roman" w:eastAsia="MS Mincho" w:hAnsi="Times New Roman" w:cs="Times New Roman"/>
          <w:sz w:val="24"/>
          <w:szCs w:val="24"/>
          <w:lang w:val="en-US" w:eastAsia="ja-JP"/>
        </w:rPr>
        <w:t>nalytical report is formed on the basis of legal risk level assessment indicators, implemented by the Regulation.</w:t>
      </w:r>
    </w:p>
    <w:p w:rsidR="009B23BD" w:rsidRPr="00961E31" w:rsidRDefault="009B23BD" w:rsidP="009B23BD">
      <w:pPr>
        <w:tabs>
          <w:tab w:val="num" w:pos="567"/>
          <w:tab w:val="left" w:pos="600"/>
        </w:tabs>
        <w:spacing w:after="120" w:line="240" w:lineRule="auto"/>
        <w:ind w:firstLine="567"/>
        <w:jc w:val="both"/>
        <w:rPr>
          <w:rFonts w:ascii="Times New Roman" w:eastAsia="MS Mincho" w:hAnsi="Times New Roman" w:cs="Times New Roman"/>
          <w:sz w:val="24"/>
          <w:szCs w:val="24"/>
          <w:lang w:val="en-US" w:eastAsia="ja-JP"/>
        </w:rPr>
      </w:pPr>
      <w:r w:rsidRPr="00961E31">
        <w:rPr>
          <w:rFonts w:ascii="Times New Roman" w:eastAsia="MS Mincho" w:hAnsi="Times New Roman" w:cs="Times New Roman"/>
          <w:sz w:val="24"/>
          <w:szCs w:val="24"/>
          <w:lang w:val="en-US" w:eastAsia="ja-JP"/>
        </w:rPr>
        <w:t xml:space="preserve">In the process of </w:t>
      </w:r>
      <w:r w:rsidR="0076634E">
        <w:rPr>
          <w:rFonts w:ascii="Times New Roman" w:eastAsia="MS Mincho" w:hAnsi="Times New Roman" w:cs="Times New Roman"/>
          <w:sz w:val="24"/>
          <w:szCs w:val="24"/>
          <w:lang w:val="en-US" w:eastAsia="ja-JP"/>
        </w:rPr>
        <w:t xml:space="preserve">the </w:t>
      </w:r>
      <w:r w:rsidRPr="00961E31">
        <w:rPr>
          <w:rFonts w:ascii="Times New Roman" w:eastAsia="MS Mincho" w:hAnsi="Times New Roman" w:cs="Times New Roman"/>
          <w:sz w:val="24"/>
          <w:szCs w:val="24"/>
          <w:lang w:val="en-US" w:eastAsia="ja-JP"/>
        </w:rPr>
        <w:t xml:space="preserve">legal risk management </w:t>
      </w:r>
      <w:r>
        <w:rPr>
          <w:rFonts w:ascii="Times New Roman" w:eastAsia="MS Mincho" w:hAnsi="Times New Roman" w:cs="Times New Roman"/>
          <w:sz w:val="24"/>
          <w:szCs w:val="24"/>
          <w:lang w:val="en-US" w:eastAsia="ja-JP"/>
        </w:rPr>
        <w:t xml:space="preserve">the </w:t>
      </w:r>
      <w:r w:rsidRPr="00961E31">
        <w:rPr>
          <w:rFonts w:ascii="Times New Roman" w:eastAsia="MS Mincho" w:hAnsi="Times New Roman" w:cs="Times New Roman"/>
          <w:sz w:val="24"/>
          <w:szCs w:val="24"/>
          <w:lang w:val="en-US" w:eastAsia="ja-JP"/>
        </w:rPr>
        <w:t xml:space="preserve">additional attention is paid to the analysis of clearing members’ (counterparties) </w:t>
      </w:r>
      <w:r>
        <w:rPr>
          <w:rFonts w:ascii="Times New Roman" w:eastAsia="MS Mincho" w:hAnsi="Times New Roman" w:cs="Times New Roman"/>
          <w:sz w:val="24"/>
          <w:szCs w:val="24"/>
          <w:lang w:val="en-US" w:eastAsia="ja-JP"/>
        </w:rPr>
        <w:t>complains</w:t>
      </w:r>
      <w:r w:rsidRPr="00961E31">
        <w:rPr>
          <w:rFonts w:ascii="Times New Roman" w:eastAsia="MS Mincho" w:hAnsi="Times New Roman" w:cs="Times New Roman"/>
          <w:sz w:val="24"/>
          <w:szCs w:val="24"/>
          <w:lang w:val="en-US" w:eastAsia="ja-JP"/>
        </w:rPr>
        <w:t xml:space="preserve"> and also to the measures, aimed at preventi</w:t>
      </w:r>
      <w:r>
        <w:rPr>
          <w:rFonts w:ascii="Times New Roman" w:eastAsia="MS Mincho" w:hAnsi="Times New Roman" w:cs="Times New Roman"/>
          <w:sz w:val="24"/>
          <w:szCs w:val="24"/>
          <w:lang w:val="en-US" w:eastAsia="ja-JP"/>
        </w:rPr>
        <w:t>ng</w:t>
      </w:r>
      <w:r w:rsidRPr="00961E31">
        <w:rPr>
          <w:rFonts w:ascii="Times New Roman" w:eastAsia="MS Mincho" w:hAnsi="Times New Roman" w:cs="Times New Roman"/>
          <w:sz w:val="24"/>
          <w:szCs w:val="24"/>
          <w:lang w:val="en-US" w:eastAsia="ja-JP"/>
        </w:rPr>
        <w:t xml:space="preserve"> situations, which can lead to the appliance of </w:t>
      </w:r>
      <w:r>
        <w:rPr>
          <w:rFonts w:ascii="Times New Roman" w:eastAsia="MS Mincho" w:hAnsi="Times New Roman" w:cs="Times New Roman"/>
          <w:sz w:val="24"/>
          <w:szCs w:val="24"/>
          <w:lang w:val="en-US" w:eastAsia="ja-JP"/>
        </w:rPr>
        <w:t>enforcement actions</w:t>
      </w:r>
      <w:r w:rsidRPr="00961E31">
        <w:rPr>
          <w:rFonts w:ascii="Times New Roman" w:eastAsia="MS Mincho" w:hAnsi="Times New Roman" w:cs="Times New Roman"/>
          <w:sz w:val="24"/>
          <w:szCs w:val="24"/>
          <w:lang w:val="en-US" w:eastAsia="ja-JP"/>
        </w:rPr>
        <w:t xml:space="preserve"> from the regulat</w:t>
      </w:r>
      <w:r>
        <w:rPr>
          <w:rFonts w:ascii="Times New Roman" w:eastAsia="MS Mincho" w:hAnsi="Times New Roman" w:cs="Times New Roman"/>
          <w:sz w:val="24"/>
          <w:szCs w:val="24"/>
          <w:lang w:val="en-US" w:eastAsia="ja-JP"/>
        </w:rPr>
        <w:t>ory</w:t>
      </w:r>
      <w:r w:rsidRPr="00961E31">
        <w:rPr>
          <w:rFonts w:ascii="Times New Roman" w:eastAsia="MS Mincho" w:hAnsi="Times New Roman" w:cs="Times New Roman"/>
          <w:sz w:val="24"/>
          <w:szCs w:val="24"/>
          <w:lang w:val="en-US" w:eastAsia="ja-JP"/>
        </w:rPr>
        <w:t xml:space="preserve"> and </w:t>
      </w:r>
      <w:r>
        <w:rPr>
          <w:rFonts w:ascii="Times New Roman" w:eastAsia="MS Mincho" w:hAnsi="Times New Roman" w:cs="Times New Roman"/>
          <w:sz w:val="24"/>
          <w:szCs w:val="24"/>
          <w:lang w:val="en-US" w:eastAsia="ja-JP"/>
        </w:rPr>
        <w:t>supervisory</w:t>
      </w:r>
      <w:r w:rsidRPr="00961E31">
        <w:rPr>
          <w:rFonts w:ascii="Times New Roman" w:eastAsia="MS Mincho" w:hAnsi="Times New Roman" w:cs="Times New Roman"/>
          <w:sz w:val="24"/>
          <w:szCs w:val="24"/>
          <w:lang w:val="en-US" w:eastAsia="ja-JP"/>
        </w:rPr>
        <w:t xml:space="preserve"> bodies or </w:t>
      </w:r>
      <w:r>
        <w:rPr>
          <w:rFonts w:ascii="Times New Roman" w:eastAsia="MS Mincho" w:hAnsi="Times New Roman" w:cs="Times New Roman"/>
          <w:sz w:val="24"/>
          <w:szCs w:val="24"/>
          <w:lang w:val="en-US" w:eastAsia="ja-JP"/>
        </w:rPr>
        <w:t xml:space="preserve">occurrence of </w:t>
      </w:r>
      <w:r w:rsidRPr="00961E31">
        <w:rPr>
          <w:rFonts w:ascii="Times New Roman" w:eastAsia="MS Mincho" w:hAnsi="Times New Roman" w:cs="Times New Roman"/>
          <w:sz w:val="24"/>
          <w:szCs w:val="24"/>
          <w:lang w:val="en-US" w:eastAsia="ja-JP"/>
        </w:rPr>
        <w:t xml:space="preserve">legal claims </w:t>
      </w:r>
      <w:r>
        <w:rPr>
          <w:rFonts w:ascii="Times New Roman" w:eastAsia="MS Mincho" w:hAnsi="Times New Roman" w:cs="Times New Roman"/>
          <w:sz w:val="24"/>
          <w:szCs w:val="24"/>
          <w:lang w:val="en-US" w:eastAsia="ja-JP"/>
        </w:rPr>
        <w:t>against</w:t>
      </w:r>
      <w:r w:rsidRPr="00961E31">
        <w:rPr>
          <w:rFonts w:ascii="Times New Roman" w:eastAsia="MS Mincho" w:hAnsi="Times New Roman" w:cs="Times New Roman"/>
          <w:sz w:val="24"/>
          <w:szCs w:val="24"/>
          <w:lang w:val="en-US" w:eastAsia="ja-JP"/>
        </w:rPr>
        <w:t xml:space="preserve"> the NCC. </w:t>
      </w:r>
    </w:p>
    <w:p w:rsidR="009B23BD" w:rsidRDefault="009B23BD" w:rsidP="009B23BD">
      <w:pPr>
        <w:tabs>
          <w:tab w:val="num" w:pos="567"/>
          <w:tab w:val="left" w:pos="600"/>
        </w:tabs>
        <w:spacing w:after="120" w:line="240" w:lineRule="auto"/>
        <w:ind w:firstLine="567"/>
        <w:jc w:val="both"/>
        <w:rPr>
          <w:rFonts w:ascii="Times New Roman" w:eastAsia="MS Mincho" w:hAnsi="Times New Roman" w:cs="Times New Roman"/>
          <w:sz w:val="24"/>
          <w:szCs w:val="24"/>
          <w:lang w:val="en-US" w:eastAsia="ja-JP"/>
        </w:rPr>
      </w:pPr>
      <w:r w:rsidRPr="00961E31">
        <w:rPr>
          <w:rFonts w:ascii="Times New Roman" w:eastAsia="MS Mincho" w:hAnsi="Times New Roman" w:cs="Times New Roman"/>
          <w:sz w:val="24"/>
          <w:szCs w:val="24"/>
          <w:lang w:val="en-US" w:eastAsia="ja-JP"/>
        </w:rPr>
        <w:t xml:space="preserve">In order to minimize the legal risk </w:t>
      </w:r>
      <w:r>
        <w:rPr>
          <w:rFonts w:ascii="Times New Roman" w:eastAsia="MS Mincho" w:hAnsi="Times New Roman" w:cs="Times New Roman"/>
          <w:sz w:val="24"/>
          <w:szCs w:val="24"/>
          <w:lang w:val="en-US" w:eastAsia="ja-JP"/>
        </w:rPr>
        <w:t xml:space="preserve">the </w:t>
      </w:r>
      <w:r w:rsidRPr="00961E31">
        <w:rPr>
          <w:rFonts w:ascii="Times New Roman" w:eastAsia="MS Mincho" w:hAnsi="Times New Roman" w:cs="Times New Roman"/>
          <w:sz w:val="24"/>
          <w:szCs w:val="24"/>
          <w:lang w:val="en-US" w:eastAsia="ja-JP"/>
        </w:rPr>
        <w:t xml:space="preserve">typical forms of contracts and other internal documents were designed, the procedure of conformation by the Legal department of Bank’s contracts different from </w:t>
      </w:r>
      <w:r>
        <w:rPr>
          <w:rFonts w:ascii="Times New Roman" w:eastAsia="MS Mincho" w:hAnsi="Times New Roman" w:cs="Times New Roman"/>
          <w:sz w:val="24"/>
          <w:szCs w:val="24"/>
          <w:lang w:val="en-US" w:eastAsia="ja-JP"/>
        </w:rPr>
        <w:t>standard form contracts</w:t>
      </w:r>
      <w:r w:rsidRPr="00961E31">
        <w:rPr>
          <w:rFonts w:ascii="Times New Roman" w:eastAsia="MS Mincho" w:hAnsi="Times New Roman" w:cs="Times New Roman"/>
          <w:sz w:val="24"/>
          <w:szCs w:val="24"/>
          <w:lang w:val="en-US" w:eastAsia="ja-JP"/>
        </w:rPr>
        <w:t xml:space="preserve"> was established.</w:t>
      </w:r>
    </w:p>
    <w:p w:rsidR="009B23BD" w:rsidRDefault="009B23BD" w:rsidP="009B23BD">
      <w:pPr>
        <w:tabs>
          <w:tab w:val="num" w:pos="567"/>
          <w:tab w:val="left" w:pos="600"/>
        </w:tabs>
        <w:spacing w:before="100" w:after="120" w:line="240" w:lineRule="auto"/>
        <w:jc w:val="center"/>
        <w:rPr>
          <w:rFonts w:ascii="Times New Roman" w:eastAsia="+mn-ea" w:hAnsi="Times New Roman" w:cs="Times New Roman"/>
          <w:b/>
          <w:sz w:val="24"/>
          <w:szCs w:val="24"/>
          <w:lang w:val="en-US" w:eastAsia="ru-RU"/>
        </w:rPr>
      </w:pPr>
    </w:p>
    <w:p w:rsidR="009B23BD" w:rsidRPr="003161C5" w:rsidRDefault="009B23BD" w:rsidP="009B23BD">
      <w:pPr>
        <w:tabs>
          <w:tab w:val="num" w:pos="567"/>
          <w:tab w:val="left" w:pos="600"/>
        </w:tabs>
        <w:spacing w:before="100" w:after="120" w:line="240" w:lineRule="auto"/>
        <w:jc w:val="center"/>
        <w:rPr>
          <w:rFonts w:ascii="Times New Roman" w:eastAsia="MS Mincho" w:hAnsi="Times New Roman" w:cs="Times New Roman"/>
          <w:b/>
          <w:sz w:val="24"/>
          <w:szCs w:val="24"/>
          <w:lang w:val="en-US" w:eastAsia="ja-JP"/>
        </w:rPr>
      </w:pPr>
      <w:r w:rsidRPr="003161C5">
        <w:rPr>
          <w:rFonts w:ascii="Times New Roman" w:eastAsia="+mn-ea" w:hAnsi="Times New Roman" w:cs="Times New Roman"/>
          <w:b/>
          <w:sz w:val="24"/>
          <w:szCs w:val="24"/>
          <w:lang w:val="en-US" w:eastAsia="ru-RU"/>
        </w:rPr>
        <w:t>Reputational risk management</w:t>
      </w:r>
    </w:p>
    <w:p w:rsidR="009B23BD" w:rsidRPr="003161C5" w:rsidRDefault="0076634E" w:rsidP="009B23BD">
      <w:pPr>
        <w:spacing w:after="120" w:line="240" w:lineRule="auto"/>
        <w:ind w:firstLine="567"/>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The r</w:t>
      </w:r>
      <w:r w:rsidR="009B23BD" w:rsidRPr="003161C5">
        <w:rPr>
          <w:rFonts w:ascii="Times New Roman" w:eastAsia="Times New Roman" w:hAnsi="Times New Roman" w:cs="Times New Roman"/>
          <w:sz w:val="24"/>
          <w:szCs w:val="24"/>
          <w:lang w:val="en-US"/>
        </w:rPr>
        <w:t>eputational risk is defined by the Bank as a risk, arising as a result of negative perception of NCC by clients, counterparties, stockholders, investors, creditors, market analysts</w:t>
      </w:r>
      <w:proofErr w:type="gramStart"/>
      <w:r w:rsidR="009B23BD" w:rsidRPr="003161C5">
        <w:rPr>
          <w:rFonts w:ascii="Times New Roman" w:eastAsia="Times New Roman" w:hAnsi="Times New Roman" w:cs="Times New Roman"/>
          <w:sz w:val="24"/>
          <w:szCs w:val="24"/>
          <w:lang w:val="en-US"/>
        </w:rPr>
        <w:t xml:space="preserve">, </w:t>
      </w:r>
      <w:r w:rsidR="009B23BD">
        <w:rPr>
          <w:rFonts w:ascii="Times New Roman" w:eastAsia="Times New Roman" w:hAnsi="Times New Roman" w:cs="Times New Roman"/>
          <w:sz w:val="24"/>
          <w:szCs w:val="24"/>
          <w:lang w:val="en-US"/>
        </w:rPr>
        <w:t xml:space="preserve"> supervision</w:t>
      </w:r>
      <w:proofErr w:type="gramEnd"/>
      <w:r w:rsidR="009B23BD" w:rsidRPr="003161C5">
        <w:rPr>
          <w:rFonts w:ascii="Times New Roman" w:eastAsia="Times New Roman" w:hAnsi="Times New Roman" w:cs="Times New Roman"/>
          <w:sz w:val="24"/>
          <w:szCs w:val="24"/>
          <w:lang w:val="en-US"/>
        </w:rPr>
        <w:t xml:space="preserve"> bodies, which can influence negatively the NCC’s ability to maintain existing and form new business relationships, have an access to financial resources on a regular basis and to perform mentioned in the Charter kinds of activities. </w:t>
      </w:r>
    </w:p>
    <w:p w:rsidR="009B23BD" w:rsidRPr="003161C5" w:rsidRDefault="009B23BD" w:rsidP="009B23BD">
      <w:pPr>
        <w:tabs>
          <w:tab w:val="num" w:pos="567"/>
          <w:tab w:val="left" w:pos="600"/>
        </w:tabs>
        <w:spacing w:after="120" w:line="240" w:lineRule="auto"/>
        <w:ind w:firstLine="567"/>
        <w:jc w:val="both"/>
        <w:rPr>
          <w:rFonts w:ascii="Times New Roman" w:eastAsia="+mn-ea" w:hAnsi="Times New Roman" w:cs="Times New Roman"/>
          <w:sz w:val="24"/>
          <w:szCs w:val="24"/>
          <w:lang w:val="en-US" w:eastAsia="ru-RU"/>
        </w:rPr>
      </w:pPr>
      <w:r w:rsidRPr="003161C5">
        <w:rPr>
          <w:rFonts w:ascii="Times New Roman" w:eastAsia="+mn-ea" w:hAnsi="Times New Roman" w:cs="Times New Roman"/>
          <w:sz w:val="24"/>
          <w:szCs w:val="24"/>
          <w:lang w:val="en-US" w:eastAsia="ru-RU"/>
        </w:rPr>
        <w:t xml:space="preserve">During the accounting period </w:t>
      </w:r>
      <w:r w:rsidR="0076634E">
        <w:rPr>
          <w:rFonts w:ascii="Times New Roman" w:eastAsia="+mn-ea" w:hAnsi="Times New Roman" w:cs="Times New Roman"/>
          <w:sz w:val="24"/>
          <w:szCs w:val="24"/>
          <w:lang w:val="en-US" w:eastAsia="ru-RU"/>
        </w:rPr>
        <w:t xml:space="preserve">the </w:t>
      </w:r>
      <w:r w:rsidRPr="003161C5">
        <w:rPr>
          <w:rFonts w:ascii="Times New Roman" w:eastAsia="+mn-ea" w:hAnsi="Times New Roman" w:cs="Times New Roman"/>
          <w:sz w:val="24"/>
          <w:szCs w:val="24"/>
          <w:lang w:val="en-US" w:eastAsia="ru-RU"/>
        </w:rPr>
        <w:t>reputational risk management was performed according to the letter of the Bank of Russia No. 92-t dated 30 June 2005 “About legal and reputational risk management organization in credit institutions and banking groups", on the basis of Regulation of reputational risk management approved by the NCC’s Supervisory Board and other internal documents. The management of this kind of risk was coordinated by the Authorized employee, who together with other subjects connected to the reputational risk management conducted monitoring and current evaluation of risk events and also took other measures, aimed</w:t>
      </w:r>
      <w:r w:rsidR="00FB2750">
        <w:rPr>
          <w:rFonts w:ascii="Times New Roman" w:eastAsia="+mn-ea" w:hAnsi="Times New Roman" w:cs="Times New Roman"/>
          <w:sz w:val="24"/>
          <w:szCs w:val="24"/>
          <w:lang w:val="en-US" w:eastAsia="ru-RU"/>
        </w:rPr>
        <w:t xml:space="preserve"> </w:t>
      </w:r>
      <w:proofErr w:type="gramStart"/>
      <w:r w:rsidRPr="003161C5">
        <w:rPr>
          <w:rFonts w:ascii="Times New Roman" w:eastAsia="+mn-ea" w:hAnsi="Times New Roman" w:cs="Times New Roman"/>
          <w:sz w:val="24"/>
          <w:szCs w:val="24"/>
          <w:lang w:val="en-US" w:eastAsia="ru-RU"/>
        </w:rPr>
        <w:t>at  maint</w:t>
      </w:r>
      <w:r w:rsidR="00FB2750">
        <w:rPr>
          <w:rFonts w:ascii="Times New Roman" w:eastAsia="+mn-ea" w:hAnsi="Times New Roman" w:cs="Times New Roman"/>
          <w:sz w:val="24"/>
          <w:szCs w:val="24"/>
          <w:lang w:val="en-US" w:eastAsia="ru-RU"/>
        </w:rPr>
        <w:t>ai</w:t>
      </w:r>
      <w:r w:rsidRPr="003161C5">
        <w:rPr>
          <w:rFonts w:ascii="Times New Roman" w:eastAsia="+mn-ea" w:hAnsi="Times New Roman" w:cs="Times New Roman"/>
          <w:sz w:val="24"/>
          <w:szCs w:val="24"/>
          <w:lang w:val="en-US" w:eastAsia="ru-RU"/>
        </w:rPr>
        <w:t>n</w:t>
      </w:r>
      <w:r>
        <w:rPr>
          <w:rFonts w:ascii="Times New Roman" w:eastAsia="+mn-ea" w:hAnsi="Times New Roman" w:cs="Times New Roman"/>
          <w:sz w:val="24"/>
          <w:szCs w:val="24"/>
          <w:lang w:val="en-US" w:eastAsia="ru-RU"/>
        </w:rPr>
        <w:t>ing</w:t>
      </w:r>
      <w:proofErr w:type="gramEnd"/>
      <w:r w:rsidRPr="003161C5">
        <w:rPr>
          <w:rFonts w:ascii="Times New Roman" w:eastAsia="+mn-ea" w:hAnsi="Times New Roman" w:cs="Times New Roman"/>
          <w:sz w:val="24"/>
          <w:szCs w:val="24"/>
          <w:lang w:val="en-US" w:eastAsia="ru-RU"/>
        </w:rPr>
        <w:t xml:space="preserve"> of the risk at the acceptable level. </w:t>
      </w:r>
    </w:p>
    <w:p w:rsidR="009B23BD" w:rsidRPr="003161C5" w:rsidRDefault="009B23BD" w:rsidP="009B23BD">
      <w:pPr>
        <w:tabs>
          <w:tab w:val="num" w:pos="567"/>
          <w:tab w:val="left" w:pos="600"/>
        </w:tabs>
        <w:spacing w:after="120" w:line="240" w:lineRule="auto"/>
        <w:ind w:firstLine="567"/>
        <w:jc w:val="both"/>
        <w:rPr>
          <w:rFonts w:ascii="Times New Roman" w:eastAsia="Times New Roman" w:hAnsi="Times New Roman" w:cs="Times New Roman"/>
          <w:sz w:val="24"/>
          <w:szCs w:val="24"/>
          <w:lang w:val="en-US" w:eastAsia="ru-RU"/>
        </w:rPr>
      </w:pPr>
      <w:r w:rsidRPr="003161C5">
        <w:rPr>
          <w:rFonts w:ascii="Times New Roman" w:eastAsia="+mn-ea" w:hAnsi="Times New Roman" w:cs="Times New Roman"/>
          <w:sz w:val="24"/>
          <w:szCs w:val="24"/>
          <w:lang w:val="en-US" w:eastAsia="ru-RU"/>
        </w:rPr>
        <w:t xml:space="preserve">During the </w:t>
      </w:r>
      <w:r>
        <w:rPr>
          <w:rFonts w:ascii="Times New Roman" w:eastAsia="+mn-ea" w:hAnsi="Times New Roman" w:cs="Times New Roman"/>
          <w:sz w:val="24"/>
          <w:szCs w:val="24"/>
          <w:lang w:val="en-US" w:eastAsia="ru-RU"/>
        </w:rPr>
        <w:t>reporting</w:t>
      </w:r>
      <w:r w:rsidRPr="003161C5">
        <w:rPr>
          <w:rFonts w:ascii="Times New Roman" w:eastAsia="+mn-ea" w:hAnsi="Times New Roman" w:cs="Times New Roman"/>
          <w:sz w:val="24"/>
          <w:szCs w:val="24"/>
          <w:lang w:val="en-US" w:eastAsia="ru-RU"/>
        </w:rPr>
        <w:t xml:space="preserve"> period the Bank conducted activities to develop reputational risk management system, </w:t>
      </w:r>
      <w:r w:rsidRPr="0084370F">
        <w:rPr>
          <w:rFonts w:ascii="Times New Roman" w:eastAsia="+mn-ea" w:hAnsi="Times New Roman" w:cs="Times New Roman"/>
          <w:sz w:val="24"/>
          <w:szCs w:val="24"/>
          <w:lang w:val="en-US" w:eastAsia="ru-RU"/>
        </w:rPr>
        <w:t>aimed at increasing</w:t>
      </w:r>
      <w:r>
        <w:rPr>
          <w:rFonts w:ascii="Times New Roman" w:eastAsia="+mn-ea" w:hAnsi="Times New Roman" w:cs="Times New Roman"/>
          <w:sz w:val="24"/>
          <w:szCs w:val="24"/>
          <w:lang w:val="en-US" w:eastAsia="ru-RU"/>
        </w:rPr>
        <w:t xml:space="preserve"> the</w:t>
      </w:r>
      <w:r w:rsidRPr="003161C5">
        <w:rPr>
          <w:rFonts w:ascii="Times New Roman" w:eastAsia="+mn-ea" w:hAnsi="Times New Roman" w:cs="Times New Roman"/>
          <w:sz w:val="24"/>
          <w:szCs w:val="24"/>
          <w:lang w:val="en-US" w:eastAsia="ru-RU"/>
        </w:rPr>
        <w:t xml:space="preserve"> effectiveness and </w:t>
      </w:r>
      <w:r w:rsidRPr="0084370F">
        <w:rPr>
          <w:rFonts w:ascii="Times New Roman" w:eastAsia="+mn-ea" w:hAnsi="Times New Roman" w:cs="Times New Roman"/>
          <w:sz w:val="24"/>
          <w:szCs w:val="24"/>
          <w:lang w:val="en-US" w:eastAsia="ru-RU"/>
        </w:rPr>
        <w:t>facilitating</w:t>
      </w:r>
      <w:r>
        <w:rPr>
          <w:rFonts w:ascii="Times New Roman" w:eastAsia="+mn-ea" w:hAnsi="Times New Roman" w:cs="Times New Roman"/>
          <w:sz w:val="24"/>
          <w:szCs w:val="24"/>
          <w:lang w:val="en-US" w:eastAsia="ru-RU"/>
        </w:rPr>
        <w:t xml:space="preserve"> the</w:t>
      </w:r>
      <w:r w:rsidRPr="003161C5">
        <w:rPr>
          <w:rFonts w:ascii="Times New Roman" w:eastAsia="+mn-ea" w:hAnsi="Times New Roman" w:cs="Times New Roman"/>
          <w:sz w:val="24"/>
          <w:szCs w:val="24"/>
          <w:lang w:val="en-US" w:eastAsia="ru-RU"/>
        </w:rPr>
        <w:t xml:space="preserve"> fulfillment of risk management internal procedures and </w:t>
      </w:r>
      <w:r w:rsidRPr="0084370F">
        <w:rPr>
          <w:rFonts w:ascii="Times New Roman" w:eastAsia="+mn-ea" w:hAnsi="Times New Roman" w:cs="Times New Roman"/>
          <w:sz w:val="24"/>
          <w:szCs w:val="24"/>
          <w:lang w:val="en-US" w:eastAsia="ru-RU"/>
        </w:rPr>
        <w:t>implementing</w:t>
      </w:r>
      <w:r w:rsidRPr="003161C5">
        <w:rPr>
          <w:rFonts w:ascii="Times New Roman" w:eastAsia="+mn-ea" w:hAnsi="Times New Roman" w:cs="Times New Roman"/>
          <w:sz w:val="24"/>
          <w:szCs w:val="24"/>
          <w:lang w:val="en-US" w:eastAsia="ru-RU"/>
        </w:rPr>
        <w:t xml:space="preserve"> of effective methods </w:t>
      </w:r>
      <w:r>
        <w:rPr>
          <w:rFonts w:ascii="Times New Roman" w:eastAsia="+mn-ea" w:hAnsi="Times New Roman" w:cs="Times New Roman"/>
          <w:sz w:val="24"/>
          <w:szCs w:val="24"/>
          <w:lang w:val="en-US" w:eastAsia="ru-RU"/>
        </w:rPr>
        <w:t xml:space="preserve">to </w:t>
      </w:r>
      <w:r w:rsidRPr="003161C5">
        <w:rPr>
          <w:rFonts w:ascii="Times New Roman" w:eastAsia="+mn-ea" w:hAnsi="Times New Roman" w:cs="Times New Roman"/>
          <w:sz w:val="24"/>
          <w:szCs w:val="24"/>
          <w:lang w:val="en-US" w:eastAsia="ru-RU"/>
        </w:rPr>
        <w:t>defin</w:t>
      </w:r>
      <w:r>
        <w:rPr>
          <w:rFonts w:ascii="Times New Roman" w:eastAsia="+mn-ea" w:hAnsi="Times New Roman" w:cs="Times New Roman"/>
          <w:sz w:val="24"/>
          <w:szCs w:val="24"/>
          <w:lang w:val="en-US" w:eastAsia="ru-RU"/>
        </w:rPr>
        <w:t xml:space="preserve">e events </w:t>
      </w:r>
      <w:proofErr w:type="gramStart"/>
      <w:r>
        <w:rPr>
          <w:rFonts w:ascii="Times New Roman" w:eastAsia="+mn-ea" w:hAnsi="Times New Roman" w:cs="Times New Roman"/>
          <w:sz w:val="24"/>
          <w:szCs w:val="24"/>
          <w:lang w:val="en-US" w:eastAsia="ru-RU"/>
        </w:rPr>
        <w:t xml:space="preserve">of </w:t>
      </w:r>
      <w:r w:rsidRPr="003161C5">
        <w:rPr>
          <w:rFonts w:ascii="Times New Roman" w:eastAsia="+mn-ea" w:hAnsi="Times New Roman" w:cs="Times New Roman"/>
          <w:sz w:val="24"/>
          <w:szCs w:val="24"/>
          <w:lang w:val="en-US" w:eastAsia="ru-RU"/>
        </w:rPr>
        <w:t xml:space="preserve"> </w:t>
      </w:r>
      <w:r w:rsidR="0076634E">
        <w:rPr>
          <w:rFonts w:ascii="Times New Roman" w:eastAsia="+mn-ea" w:hAnsi="Times New Roman" w:cs="Times New Roman"/>
          <w:sz w:val="24"/>
          <w:szCs w:val="24"/>
          <w:lang w:val="en-US" w:eastAsia="ru-RU"/>
        </w:rPr>
        <w:t>the</w:t>
      </w:r>
      <w:proofErr w:type="gramEnd"/>
      <w:r w:rsidR="0076634E">
        <w:rPr>
          <w:rFonts w:ascii="Times New Roman" w:eastAsia="+mn-ea" w:hAnsi="Times New Roman" w:cs="Times New Roman"/>
          <w:sz w:val="24"/>
          <w:szCs w:val="24"/>
          <w:lang w:val="en-US" w:eastAsia="ru-RU"/>
        </w:rPr>
        <w:t xml:space="preserve"> </w:t>
      </w:r>
      <w:r w:rsidRPr="003161C5">
        <w:rPr>
          <w:rFonts w:ascii="Times New Roman" w:eastAsia="+mn-ea" w:hAnsi="Times New Roman" w:cs="Times New Roman"/>
          <w:sz w:val="24"/>
          <w:szCs w:val="24"/>
          <w:lang w:val="en-US" w:eastAsia="ru-RU"/>
        </w:rPr>
        <w:t>reputational risk</w:t>
      </w:r>
      <w:r w:rsidRPr="003161C5">
        <w:rPr>
          <w:rFonts w:ascii="Times New Roman" w:eastAsia="Times New Roman" w:hAnsi="Times New Roman" w:cs="Times New Roman"/>
          <w:sz w:val="24"/>
          <w:szCs w:val="24"/>
          <w:lang w:val="en-US" w:eastAsia="ru-RU"/>
        </w:rPr>
        <w:t>:</w:t>
      </w:r>
    </w:p>
    <w:p w:rsidR="009B23BD" w:rsidRPr="003161C5" w:rsidRDefault="009B23BD" w:rsidP="00472CA4">
      <w:pPr>
        <w:numPr>
          <w:ilvl w:val="0"/>
          <w:numId w:val="37"/>
        </w:numPr>
        <w:spacing w:after="12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while </w:t>
      </w:r>
      <w:r w:rsidRPr="005A3C9F">
        <w:rPr>
          <w:rFonts w:ascii="Times New Roman" w:eastAsia="Times New Roman" w:hAnsi="Times New Roman" w:cs="Times New Roman"/>
          <w:sz w:val="24"/>
          <w:szCs w:val="24"/>
          <w:lang w:val="en-US" w:eastAsia="ru-RU"/>
        </w:rPr>
        <w:t>acquiring</w:t>
      </w:r>
      <w:r>
        <w:rPr>
          <w:rFonts w:ascii="Times New Roman" w:eastAsia="Times New Roman" w:hAnsi="Times New Roman" w:cs="Times New Roman"/>
          <w:sz w:val="24"/>
          <w:szCs w:val="24"/>
          <w:lang w:val="en-US" w:eastAsia="ru-RU"/>
        </w:rPr>
        <w:t xml:space="preserve"> the</w:t>
      </w:r>
      <w:r w:rsidRPr="003161C5">
        <w:rPr>
          <w:rFonts w:ascii="Times New Roman" w:eastAsia="Times New Roman" w:hAnsi="Times New Roman" w:cs="Times New Roman"/>
          <w:sz w:val="24"/>
          <w:szCs w:val="24"/>
          <w:lang w:val="en-US" w:eastAsia="ru-RU"/>
        </w:rPr>
        <w:t xml:space="preserve"> information about the operational risk events the analysis was conducted to define links and </w:t>
      </w:r>
      <w:r>
        <w:rPr>
          <w:rFonts w:ascii="Times New Roman" w:eastAsia="Times New Roman" w:hAnsi="Times New Roman" w:cs="Times New Roman"/>
          <w:sz w:val="24"/>
          <w:szCs w:val="24"/>
          <w:lang w:val="en-US" w:eastAsia="ru-RU"/>
        </w:rPr>
        <w:t>an</w:t>
      </w:r>
      <w:r w:rsidRPr="003161C5">
        <w:rPr>
          <w:rFonts w:ascii="Times New Roman" w:eastAsia="Times New Roman" w:hAnsi="Times New Roman" w:cs="Times New Roman"/>
          <w:sz w:val="24"/>
          <w:szCs w:val="24"/>
          <w:lang w:val="en-US" w:eastAsia="ru-RU"/>
        </w:rPr>
        <w:t xml:space="preserve"> extent of influence of operational risk </w:t>
      </w:r>
      <w:r w:rsidRPr="0084370F">
        <w:rPr>
          <w:rFonts w:ascii="Times New Roman" w:eastAsia="Times New Roman" w:hAnsi="Times New Roman" w:cs="Times New Roman"/>
          <w:sz w:val="24"/>
          <w:szCs w:val="24"/>
          <w:lang w:val="en-US" w:eastAsia="ru-RU"/>
        </w:rPr>
        <w:t>events</w:t>
      </w:r>
      <w:r w:rsidRPr="003161C5">
        <w:rPr>
          <w:rFonts w:ascii="Times New Roman" w:eastAsia="Times New Roman" w:hAnsi="Times New Roman" w:cs="Times New Roman"/>
          <w:sz w:val="24"/>
          <w:szCs w:val="24"/>
          <w:lang w:val="en-US" w:eastAsia="ru-RU"/>
        </w:rPr>
        <w:t xml:space="preserve"> on </w:t>
      </w:r>
      <w:r>
        <w:rPr>
          <w:rFonts w:ascii="Times New Roman" w:eastAsia="Times New Roman" w:hAnsi="Times New Roman" w:cs="Times New Roman"/>
          <w:sz w:val="24"/>
          <w:szCs w:val="24"/>
          <w:lang w:val="en-US" w:eastAsia="ru-RU"/>
        </w:rPr>
        <w:t xml:space="preserve">the </w:t>
      </w:r>
      <w:r w:rsidRPr="003161C5">
        <w:rPr>
          <w:rFonts w:ascii="Times New Roman" w:eastAsia="Times New Roman" w:hAnsi="Times New Roman" w:cs="Times New Roman"/>
          <w:sz w:val="24"/>
          <w:szCs w:val="24"/>
          <w:lang w:val="en-US" w:eastAsia="ru-RU"/>
        </w:rPr>
        <w:t xml:space="preserve">reputational risk; </w:t>
      </w:r>
      <w:r w:rsidRPr="0084370F">
        <w:rPr>
          <w:rFonts w:ascii="Times New Roman" w:eastAsia="Times New Roman" w:hAnsi="Times New Roman" w:cs="Times New Roman"/>
          <w:sz w:val="24"/>
          <w:szCs w:val="24"/>
          <w:lang w:val="en-US" w:eastAsia="ru-RU"/>
        </w:rPr>
        <w:t>in the course</w:t>
      </w:r>
      <w:r w:rsidRPr="003161C5">
        <w:rPr>
          <w:rFonts w:ascii="Times New Roman" w:eastAsia="Times New Roman" w:hAnsi="Times New Roman" w:cs="Times New Roman"/>
          <w:sz w:val="24"/>
          <w:szCs w:val="24"/>
          <w:lang w:val="en-US" w:eastAsia="ru-RU"/>
        </w:rPr>
        <w:t xml:space="preserve"> of activities aimed at getting the status of </w:t>
      </w:r>
      <w:r>
        <w:rPr>
          <w:rFonts w:ascii="Times New Roman" w:eastAsia="Times New Roman" w:hAnsi="Times New Roman" w:cs="Times New Roman"/>
          <w:sz w:val="24"/>
          <w:szCs w:val="24"/>
          <w:lang w:val="en-US" w:eastAsia="ru-RU"/>
        </w:rPr>
        <w:t xml:space="preserve">qualifying </w:t>
      </w:r>
      <w:r w:rsidRPr="003161C5">
        <w:rPr>
          <w:rFonts w:ascii="Times New Roman" w:eastAsia="Times New Roman" w:hAnsi="Times New Roman" w:cs="Times New Roman"/>
          <w:sz w:val="24"/>
          <w:szCs w:val="24"/>
          <w:lang w:val="en-US" w:eastAsia="ru-RU"/>
        </w:rPr>
        <w:t xml:space="preserve">central counterparty in July 2013 the Bank made </w:t>
      </w:r>
      <w:r>
        <w:rPr>
          <w:rFonts w:ascii="Times New Roman" w:eastAsia="Times New Roman" w:hAnsi="Times New Roman" w:cs="Times New Roman"/>
          <w:sz w:val="24"/>
          <w:szCs w:val="24"/>
          <w:lang w:val="en-US" w:eastAsia="ru-RU"/>
        </w:rPr>
        <w:t xml:space="preserve">the </w:t>
      </w:r>
      <w:r w:rsidRPr="003161C5">
        <w:rPr>
          <w:rFonts w:ascii="Times New Roman" w:eastAsia="Times New Roman" w:hAnsi="Times New Roman" w:cs="Times New Roman"/>
          <w:sz w:val="24"/>
          <w:szCs w:val="24"/>
          <w:lang w:val="en-US" w:eastAsia="ru-RU"/>
        </w:rPr>
        <w:t>self-</w:t>
      </w:r>
      <w:r>
        <w:rPr>
          <w:rFonts w:ascii="Times New Roman" w:eastAsia="Times New Roman" w:hAnsi="Times New Roman" w:cs="Times New Roman"/>
          <w:sz w:val="24"/>
          <w:szCs w:val="24"/>
          <w:lang w:val="en-US" w:eastAsia="ru-RU"/>
        </w:rPr>
        <w:t>assessment</w:t>
      </w:r>
      <w:r w:rsidRPr="003161C5">
        <w:rPr>
          <w:rFonts w:ascii="Times New Roman" w:eastAsia="Times New Roman" w:hAnsi="Times New Roman" w:cs="Times New Roman"/>
          <w:sz w:val="24"/>
          <w:szCs w:val="24"/>
          <w:lang w:val="en-US" w:eastAsia="ru-RU"/>
        </w:rPr>
        <w:t xml:space="preserve"> of management quality,</w:t>
      </w:r>
      <w:r>
        <w:rPr>
          <w:rFonts w:ascii="Times New Roman" w:eastAsia="Times New Roman" w:hAnsi="Times New Roman" w:cs="Times New Roman"/>
          <w:sz w:val="24"/>
          <w:szCs w:val="24"/>
          <w:lang w:val="en-US" w:eastAsia="ru-RU"/>
        </w:rPr>
        <w:t xml:space="preserve"> in the framework of</w:t>
      </w:r>
      <w:r w:rsidRPr="003161C5">
        <w:rPr>
          <w:rFonts w:ascii="Times New Roman" w:eastAsia="Times New Roman" w:hAnsi="Times New Roman" w:cs="Times New Roman"/>
          <w:sz w:val="24"/>
          <w:szCs w:val="24"/>
          <w:lang w:val="en-US" w:eastAsia="ru-RU"/>
        </w:rPr>
        <w:t xml:space="preserve"> which the self-</w:t>
      </w:r>
      <w:r>
        <w:rPr>
          <w:rFonts w:ascii="Times New Roman" w:eastAsia="Times New Roman" w:hAnsi="Times New Roman" w:cs="Times New Roman"/>
          <w:sz w:val="24"/>
          <w:szCs w:val="24"/>
          <w:lang w:val="en-US" w:eastAsia="ru-RU"/>
        </w:rPr>
        <w:t>assessment</w:t>
      </w:r>
      <w:r w:rsidRPr="003161C5">
        <w:rPr>
          <w:rFonts w:ascii="Times New Roman" w:eastAsia="Times New Roman" w:hAnsi="Times New Roman" w:cs="Times New Roman"/>
          <w:sz w:val="24"/>
          <w:szCs w:val="24"/>
          <w:lang w:val="en-US" w:eastAsia="ru-RU"/>
        </w:rPr>
        <w:t xml:space="preserve"> of reputational risk was also </w:t>
      </w:r>
      <w:r>
        <w:rPr>
          <w:rFonts w:ascii="Times New Roman" w:eastAsia="Times New Roman" w:hAnsi="Times New Roman" w:cs="Times New Roman"/>
          <w:sz w:val="24"/>
          <w:szCs w:val="24"/>
          <w:lang w:val="en-US" w:eastAsia="ru-RU"/>
        </w:rPr>
        <w:t>carried out</w:t>
      </w:r>
      <w:r w:rsidRPr="003161C5">
        <w:rPr>
          <w:rFonts w:ascii="Times New Roman" w:eastAsia="Times New Roman" w:hAnsi="Times New Roman" w:cs="Times New Roman"/>
          <w:sz w:val="24"/>
          <w:szCs w:val="24"/>
          <w:lang w:val="en-US" w:eastAsia="ru-RU"/>
        </w:rPr>
        <w:t xml:space="preserve">. The </w:t>
      </w:r>
      <w:r>
        <w:rPr>
          <w:rFonts w:ascii="Times New Roman" w:eastAsia="Times New Roman" w:hAnsi="Times New Roman" w:cs="Times New Roman"/>
          <w:sz w:val="24"/>
          <w:szCs w:val="24"/>
          <w:lang w:val="en-US" w:eastAsia="ru-RU"/>
        </w:rPr>
        <w:t xml:space="preserve">outcomes </w:t>
      </w:r>
      <w:r w:rsidRPr="003161C5">
        <w:rPr>
          <w:rFonts w:ascii="Times New Roman" w:eastAsia="Times New Roman" w:hAnsi="Times New Roman" w:cs="Times New Roman"/>
          <w:sz w:val="24"/>
          <w:szCs w:val="24"/>
          <w:lang w:val="en-US" w:eastAsia="ru-RU"/>
        </w:rPr>
        <w:t xml:space="preserve"> of </w:t>
      </w:r>
      <w:r w:rsidR="0076634E">
        <w:rPr>
          <w:rFonts w:ascii="Times New Roman" w:eastAsia="Times New Roman" w:hAnsi="Times New Roman" w:cs="Times New Roman"/>
          <w:sz w:val="24"/>
          <w:szCs w:val="24"/>
          <w:lang w:val="en-US" w:eastAsia="ru-RU"/>
        </w:rPr>
        <w:t xml:space="preserve">the </w:t>
      </w:r>
      <w:r w:rsidRPr="003161C5">
        <w:rPr>
          <w:rFonts w:ascii="Times New Roman" w:eastAsia="Times New Roman" w:hAnsi="Times New Roman" w:cs="Times New Roman"/>
          <w:sz w:val="24"/>
          <w:szCs w:val="24"/>
          <w:lang w:val="en-US" w:eastAsia="ru-RU"/>
        </w:rPr>
        <w:t>self-</w:t>
      </w:r>
      <w:r>
        <w:rPr>
          <w:rFonts w:ascii="Times New Roman" w:eastAsia="Times New Roman" w:hAnsi="Times New Roman" w:cs="Times New Roman"/>
          <w:sz w:val="24"/>
          <w:szCs w:val="24"/>
          <w:lang w:val="en-US" w:eastAsia="ru-RU"/>
        </w:rPr>
        <w:t>assessment</w:t>
      </w:r>
      <w:r w:rsidRPr="003161C5" w:rsidDel="00164514">
        <w:rPr>
          <w:rFonts w:ascii="Times New Roman" w:eastAsia="Times New Roman" w:hAnsi="Times New Roman" w:cs="Times New Roman"/>
          <w:sz w:val="24"/>
          <w:szCs w:val="24"/>
          <w:lang w:val="en-US" w:eastAsia="ru-RU"/>
        </w:rPr>
        <w:t xml:space="preserve"> </w:t>
      </w:r>
      <w:r w:rsidRPr="003161C5">
        <w:rPr>
          <w:rFonts w:ascii="Times New Roman" w:eastAsia="Times New Roman" w:hAnsi="Times New Roman" w:cs="Times New Roman"/>
          <w:sz w:val="24"/>
          <w:szCs w:val="24"/>
          <w:lang w:val="en-US" w:eastAsia="ru-RU"/>
        </w:rPr>
        <w:t xml:space="preserve"> were </w:t>
      </w:r>
      <w:r>
        <w:rPr>
          <w:rFonts w:ascii="Times New Roman" w:eastAsia="Times New Roman" w:hAnsi="Times New Roman" w:cs="Times New Roman"/>
          <w:sz w:val="24"/>
          <w:szCs w:val="24"/>
          <w:lang w:val="en-US" w:eastAsia="ru-RU"/>
        </w:rPr>
        <w:t>reported</w:t>
      </w:r>
      <w:r w:rsidRPr="003161C5">
        <w:rPr>
          <w:rFonts w:ascii="Times New Roman" w:eastAsia="Times New Roman" w:hAnsi="Times New Roman" w:cs="Times New Roman"/>
          <w:sz w:val="24"/>
          <w:szCs w:val="24"/>
          <w:lang w:val="en-US" w:eastAsia="ru-RU"/>
        </w:rPr>
        <w:t xml:space="preserve"> to the Chairman of the Board s and sent to the Bank of Russia;</w:t>
      </w:r>
    </w:p>
    <w:p w:rsidR="009B23BD" w:rsidRPr="003161C5" w:rsidRDefault="009B23BD" w:rsidP="00472CA4">
      <w:pPr>
        <w:numPr>
          <w:ilvl w:val="0"/>
          <w:numId w:val="37"/>
        </w:numPr>
        <w:spacing w:after="120" w:line="240" w:lineRule="auto"/>
        <w:ind w:left="1417" w:hanging="567"/>
        <w:jc w:val="both"/>
        <w:rPr>
          <w:rFonts w:ascii="Times New Roman" w:eastAsia="Times New Roman" w:hAnsi="Times New Roman" w:cs="Times New Roman"/>
          <w:sz w:val="24"/>
          <w:szCs w:val="24"/>
          <w:lang w:val="en-US" w:eastAsia="ru-RU"/>
        </w:rPr>
      </w:pPr>
      <w:r w:rsidRPr="003161C5">
        <w:rPr>
          <w:rFonts w:ascii="Times New Roman" w:eastAsia="Times New Roman" w:hAnsi="Times New Roman" w:cs="Times New Roman"/>
          <w:sz w:val="24"/>
          <w:szCs w:val="24"/>
          <w:lang w:val="en-US" w:eastAsia="ru-RU"/>
        </w:rPr>
        <w:t xml:space="preserve"> analysis</w:t>
      </w:r>
      <w:r>
        <w:rPr>
          <w:rFonts w:ascii="Times New Roman" w:eastAsia="Times New Roman" w:hAnsi="Times New Roman" w:cs="Times New Roman"/>
          <w:sz w:val="24"/>
          <w:szCs w:val="24"/>
          <w:lang w:val="en-US" w:eastAsia="ru-RU"/>
        </w:rPr>
        <w:t xml:space="preserve"> was made</w:t>
      </w:r>
      <w:r w:rsidRPr="003161C5">
        <w:rPr>
          <w:rFonts w:ascii="Times New Roman" w:eastAsia="Times New Roman" w:hAnsi="Times New Roman" w:cs="Times New Roman"/>
          <w:sz w:val="24"/>
          <w:szCs w:val="24"/>
          <w:lang w:val="en-US" w:eastAsia="ru-RU"/>
        </w:rPr>
        <w:t xml:space="preserve"> of  </w:t>
      </w:r>
      <w:r w:rsidRPr="0084370F">
        <w:rPr>
          <w:rFonts w:ascii="Times New Roman" w:eastAsia="Times New Roman" w:hAnsi="Times New Roman" w:cs="Times New Roman"/>
          <w:sz w:val="24"/>
          <w:szCs w:val="24"/>
          <w:lang w:val="en-US" w:eastAsia="ru-RU"/>
        </w:rPr>
        <w:t>complains</w:t>
      </w:r>
      <w:r>
        <w:rPr>
          <w:rFonts w:ascii="Times New Roman" w:eastAsia="Times New Roman" w:hAnsi="Times New Roman" w:cs="Times New Roman"/>
          <w:sz w:val="24"/>
          <w:szCs w:val="24"/>
          <w:lang w:val="en-US" w:eastAsia="ru-RU"/>
        </w:rPr>
        <w:t xml:space="preserve"> uploaded by clients on </w:t>
      </w:r>
      <w:r w:rsidRPr="003161C5">
        <w:rPr>
          <w:rFonts w:ascii="Times New Roman" w:eastAsia="Times New Roman" w:hAnsi="Times New Roman" w:cs="Times New Roman"/>
          <w:sz w:val="24"/>
          <w:szCs w:val="24"/>
          <w:lang w:val="en-US" w:eastAsia="ru-RU"/>
        </w:rPr>
        <w:t xml:space="preserve">  the Bank’s web-site</w:t>
      </w:r>
      <w:r>
        <w:rPr>
          <w:rFonts w:ascii="Times New Roman" w:eastAsia="Times New Roman" w:hAnsi="Times New Roman" w:cs="Times New Roman"/>
          <w:sz w:val="24"/>
          <w:szCs w:val="24"/>
          <w:lang w:val="en-US" w:eastAsia="ru-RU"/>
        </w:rPr>
        <w:t xml:space="preserve"> page named “</w:t>
      </w:r>
      <w:r w:rsidRPr="0084370F">
        <w:rPr>
          <w:rFonts w:ascii="Times New Roman" w:eastAsia="Times New Roman" w:hAnsi="Times New Roman" w:cs="Times New Roman"/>
          <w:sz w:val="24"/>
          <w:szCs w:val="24"/>
          <w:lang w:val="en-US" w:eastAsia="ru-RU"/>
        </w:rPr>
        <w:t>Complains</w:t>
      </w:r>
      <w:r>
        <w:rPr>
          <w:rFonts w:ascii="Times New Roman" w:eastAsia="Times New Roman" w:hAnsi="Times New Roman" w:cs="Times New Roman"/>
          <w:sz w:val="24"/>
          <w:szCs w:val="24"/>
          <w:lang w:val="en-US" w:eastAsia="ru-RU"/>
        </w:rPr>
        <w:t xml:space="preserve"> and </w:t>
      </w:r>
      <w:r w:rsidRPr="003161C5">
        <w:rPr>
          <w:rFonts w:ascii="Times New Roman" w:eastAsia="Times New Roman" w:hAnsi="Times New Roman" w:cs="Times New Roman"/>
          <w:sz w:val="24"/>
          <w:szCs w:val="24"/>
          <w:lang w:val="en-US" w:eastAsia="ru-RU"/>
        </w:rPr>
        <w:t>Recommendations</w:t>
      </w:r>
      <w:r>
        <w:rPr>
          <w:rFonts w:ascii="Times New Roman" w:eastAsia="Times New Roman" w:hAnsi="Times New Roman" w:cs="Times New Roman"/>
          <w:sz w:val="24"/>
          <w:szCs w:val="24"/>
          <w:lang w:val="en-US" w:eastAsia="ru-RU"/>
        </w:rPr>
        <w:t>”</w:t>
      </w:r>
      <w:r w:rsidRPr="003161C5">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and </w:t>
      </w:r>
      <w:r w:rsidRPr="003161C5">
        <w:rPr>
          <w:rFonts w:ascii="Times New Roman" w:eastAsia="Times New Roman" w:hAnsi="Times New Roman" w:cs="Times New Roman"/>
          <w:sz w:val="24"/>
          <w:szCs w:val="24"/>
          <w:lang w:val="en-US" w:eastAsia="ru-RU"/>
        </w:rPr>
        <w:t xml:space="preserve">the main </w:t>
      </w:r>
      <w:r w:rsidRPr="0084370F">
        <w:rPr>
          <w:rFonts w:ascii="Times New Roman" w:eastAsia="Times New Roman" w:hAnsi="Times New Roman" w:cs="Times New Roman"/>
          <w:sz w:val="24"/>
          <w:szCs w:val="24"/>
          <w:lang w:val="en-US" w:eastAsia="ru-RU"/>
        </w:rPr>
        <w:t>lines</w:t>
      </w:r>
      <w:r w:rsidRPr="003161C5">
        <w:rPr>
          <w:rFonts w:ascii="Times New Roman" w:eastAsia="Times New Roman" w:hAnsi="Times New Roman" w:cs="Times New Roman"/>
          <w:sz w:val="24"/>
          <w:szCs w:val="24"/>
          <w:lang w:val="en-US" w:eastAsia="ru-RU"/>
        </w:rPr>
        <w:t xml:space="preserve"> of </w:t>
      </w:r>
      <w:r w:rsidRPr="0084370F">
        <w:rPr>
          <w:rFonts w:ascii="Times New Roman" w:eastAsia="Times New Roman" w:hAnsi="Times New Roman" w:cs="Times New Roman"/>
          <w:sz w:val="24"/>
          <w:szCs w:val="24"/>
          <w:lang w:val="en-US" w:eastAsia="ru-RU"/>
        </w:rPr>
        <w:t>complains</w:t>
      </w:r>
      <w:r w:rsidRPr="00953626">
        <w:rPr>
          <w:rFonts w:ascii="Times New Roman" w:eastAsia="Times New Roman" w:hAnsi="Times New Roman" w:cs="Times New Roman"/>
          <w:sz w:val="24"/>
          <w:szCs w:val="24"/>
          <w:highlight w:val="yellow"/>
          <w:lang w:val="en-US" w:eastAsia="ru-RU"/>
        </w:rPr>
        <w:t xml:space="preserve">  </w:t>
      </w:r>
      <w:r w:rsidRPr="0084370F">
        <w:rPr>
          <w:rFonts w:ascii="Times New Roman" w:eastAsia="Times New Roman" w:hAnsi="Times New Roman" w:cs="Times New Roman"/>
          <w:sz w:val="24"/>
          <w:szCs w:val="24"/>
          <w:lang w:val="en-US" w:eastAsia="ru-RU"/>
        </w:rPr>
        <w:t>and the extent of their influence on NCC’s business reputation were defined;</w:t>
      </w:r>
    </w:p>
    <w:p w:rsidR="009B23BD" w:rsidRPr="003161C5" w:rsidRDefault="009B23BD" w:rsidP="00472CA4">
      <w:pPr>
        <w:numPr>
          <w:ilvl w:val="0"/>
          <w:numId w:val="37"/>
        </w:numPr>
        <w:spacing w:after="120" w:line="240" w:lineRule="auto"/>
        <w:ind w:left="1417" w:hanging="567"/>
        <w:jc w:val="both"/>
        <w:rPr>
          <w:rFonts w:ascii="Times New Roman" w:eastAsia="Times New Roman" w:hAnsi="Times New Roman" w:cs="Times New Roman"/>
          <w:sz w:val="24"/>
          <w:szCs w:val="24"/>
          <w:lang w:val="en-US" w:eastAsia="ru-RU"/>
        </w:rPr>
      </w:pPr>
      <w:r w:rsidRPr="003161C5">
        <w:rPr>
          <w:rFonts w:ascii="Times New Roman" w:eastAsia="Times New Roman" w:hAnsi="Times New Roman" w:cs="Times New Roman"/>
          <w:sz w:val="24"/>
          <w:szCs w:val="24"/>
          <w:lang w:val="en-US" w:eastAsia="ru-RU"/>
        </w:rPr>
        <w:t xml:space="preserve">  polling </w:t>
      </w:r>
      <w:r>
        <w:rPr>
          <w:rFonts w:ascii="Times New Roman" w:eastAsia="Times New Roman" w:hAnsi="Times New Roman" w:cs="Times New Roman"/>
          <w:sz w:val="24"/>
          <w:szCs w:val="24"/>
          <w:lang w:val="en-US" w:eastAsia="ru-RU"/>
        </w:rPr>
        <w:t xml:space="preserve">was arranged </w:t>
      </w:r>
      <w:r w:rsidRPr="003161C5">
        <w:rPr>
          <w:rFonts w:ascii="Times New Roman" w:eastAsia="Times New Roman" w:hAnsi="Times New Roman" w:cs="Times New Roman"/>
          <w:sz w:val="24"/>
          <w:szCs w:val="24"/>
          <w:lang w:val="en-US" w:eastAsia="ru-RU"/>
        </w:rPr>
        <w:t xml:space="preserve">of professional clients </w:t>
      </w:r>
      <w:r>
        <w:rPr>
          <w:rFonts w:ascii="Times New Roman" w:eastAsia="Times New Roman" w:hAnsi="Times New Roman" w:cs="Times New Roman"/>
          <w:sz w:val="24"/>
          <w:szCs w:val="24"/>
          <w:lang w:val="en-US" w:eastAsia="ru-RU"/>
        </w:rPr>
        <w:t>in the</w:t>
      </w:r>
      <w:r w:rsidRPr="003161C5">
        <w:rPr>
          <w:rFonts w:ascii="Times New Roman" w:eastAsia="Times New Roman" w:hAnsi="Times New Roman" w:cs="Times New Roman"/>
          <w:sz w:val="24"/>
          <w:szCs w:val="24"/>
          <w:lang w:val="en-US" w:eastAsia="ru-RU"/>
        </w:rPr>
        <w:t xml:space="preserve"> financial market, </w:t>
      </w:r>
      <w:r w:rsidRPr="0084370F">
        <w:rPr>
          <w:rFonts w:ascii="Times New Roman" w:eastAsia="Times New Roman" w:hAnsi="Times New Roman" w:cs="Times New Roman"/>
          <w:sz w:val="24"/>
          <w:szCs w:val="24"/>
          <w:lang w:val="en-US" w:eastAsia="ru-RU"/>
        </w:rPr>
        <w:t>aimed at  determining</w:t>
      </w:r>
      <w:r w:rsidRPr="003161C5">
        <w:rPr>
          <w:rFonts w:ascii="Times New Roman" w:eastAsia="Times New Roman" w:hAnsi="Times New Roman" w:cs="Times New Roman"/>
          <w:sz w:val="24"/>
          <w:szCs w:val="24"/>
          <w:lang w:val="en-US" w:eastAsia="ru-RU"/>
        </w:rPr>
        <w:t xml:space="preserve"> the business reputation level and the Bank’s image;</w:t>
      </w:r>
    </w:p>
    <w:p w:rsidR="009B23BD" w:rsidRPr="003161C5" w:rsidRDefault="009B23BD" w:rsidP="00472CA4">
      <w:pPr>
        <w:numPr>
          <w:ilvl w:val="0"/>
          <w:numId w:val="37"/>
        </w:numPr>
        <w:spacing w:after="120" w:line="240" w:lineRule="auto"/>
        <w:ind w:left="1417" w:hanging="567"/>
        <w:jc w:val="both"/>
        <w:rPr>
          <w:rFonts w:ascii="Times New Roman" w:eastAsia="Times New Roman" w:hAnsi="Times New Roman" w:cs="Times New Roman"/>
          <w:sz w:val="24"/>
          <w:szCs w:val="24"/>
          <w:lang w:val="en-US" w:eastAsia="ru-RU"/>
        </w:rPr>
      </w:pPr>
      <w:r w:rsidRPr="003161C5">
        <w:rPr>
          <w:rFonts w:ascii="Times New Roman" w:eastAsia="Times New Roman" w:hAnsi="Times New Roman" w:cs="Times New Roman"/>
          <w:sz w:val="24"/>
          <w:szCs w:val="24"/>
          <w:lang w:val="en-US" w:eastAsia="ru-RU"/>
        </w:rPr>
        <w:t xml:space="preserve"> </w:t>
      </w:r>
      <w:proofErr w:type="gramStart"/>
      <w:r w:rsidR="00FB2750">
        <w:rPr>
          <w:rFonts w:ascii="Times New Roman" w:eastAsia="Times New Roman" w:hAnsi="Times New Roman" w:cs="Times New Roman"/>
          <w:sz w:val="24"/>
          <w:szCs w:val="24"/>
          <w:lang w:val="en-US" w:eastAsia="ru-RU"/>
        </w:rPr>
        <w:t>m</w:t>
      </w:r>
      <w:r w:rsidRPr="003161C5">
        <w:rPr>
          <w:rFonts w:ascii="Times New Roman" w:eastAsia="Times New Roman" w:hAnsi="Times New Roman" w:cs="Times New Roman"/>
          <w:sz w:val="24"/>
          <w:szCs w:val="24"/>
          <w:lang w:val="en-US" w:eastAsia="ru-RU"/>
        </w:rPr>
        <w:t>onitoring</w:t>
      </w:r>
      <w:proofErr w:type="gramEnd"/>
      <w:r w:rsidR="00FB275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was carried out </w:t>
      </w:r>
      <w:r w:rsidRPr="003161C5">
        <w:rPr>
          <w:rFonts w:ascii="Times New Roman" w:eastAsia="Times New Roman" w:hAnsi="Times New Roman" w:cs="Times New Roman"/>
          <w:sz w:val="24"/>
          <w:szCs w:val="24"/>
          <w:lang w:val="en-US" w:eastAsia="ru-RU"/>
        </w:rPr>
        <w:t xml:space="preserve">of informational field, </w:t>
      </w:r>
      <w:r w:rsidRPr="0084370F">
        <w:rPr>
          <w:rFonts w:ascii="Times New Roman" w:eastAsia="Times New Roman" w:hAnsi="Times New Roman" w:cs="Times New Roman"/>
          <w:sz w:val="24"/>
          <w:szCs w:val="24"/>
          <w:lang w:val="en-US" w:eastAsia="ru-RU"/>
        </w:rPr>
        <w:t>in  so far as it related to</w:t>
      </w:r>
      <w:r>
        <w:rPr>
          <w:rFonts w:ascii="Times New Roman" w:eastAsia="Times New Roman" w:hAnsi="Times New Roman" w:cs="Times New Roman"/>
          <w:sz w:val="24"/>
          <w:szCs w:val="24"/>
          <w:lang w:val="en-US" w:eastAsia="ru-RU"/>
        </w:rPr>
        <w:t xml:space="preserve">  </w:t>
      </w:r>
      <w:r w:rsidRPr="003161C5">
        <w:rPr>
          <w:rFonts w:ascii="Times New Roman" w:eastAsia="Times New Roman" w:hAnsi="Times New Roman" w:cs="Times New Roman"/>
          <w:sz w:val="24"/>
          <w:szCs w:val="24"/>
          <w:lang w:val="en-US" w:eastAsia="ru-RU"/>
        </w:rPr>
        <w:t xml:space="preserve"> the Bank, its </w:t>
      </w:r>
      <w:r w:rsidRPr="0084370F">
        <w:rPr>
          <w:rFonts w:ascii="Times New Roman" w:eastAsia="Times New Roman" w:hAnsi="Times New Roman" w:cs="Times New Roman"/>
          <w:sz w:val="24"/>
          <w:szCs w:val="24"/>
          <w:lang w:val="en-US" w:eastAsia="ru-RU"/>
        </w:rPr>
        <w:t>sole</w:t>
      </w:r>
      <w:r w:rsidRPr="003161C5">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share</w:t>
      </w:r>
      <w:r w:rsidRPr="003161C5">
        <w:rPr>
          <w:rFonts w:ascii="Times New Roman" w:eastAsia="Times New Roman" w:hAnsi="Times New Roman" w:cs="Times New Roman"/>
          <w:sz w:val="24"/>
          <w:szCs w:val="24"/>
          <w:lang w:val="en-US" w:eastAsia="ru-RU"/>
        </w:rPr>
        <w:t xml:space="preserve">holder and </w:t>
      </w:r>
      <w:hyperlink r:id="rId29" w:history="1">
        <w:r w:rsidRPr="0084370F">
          <w:rPr>
            <w:rStyle w:val="ac"/>
            <w:rFonts w:ascii="Times New Roman" w:hAnsi="Times New Roman" w:cs="Times New Roman"/>
            <w:color w:val="auto"/>
            <w:sz w:val="24"/>
            <w:szCs w:val="24"/>
            <w:u w:val="none"/>
            <w:lang w:val="en-US"/>
          </w:rPr>
          <w:t>sole executive</w:t>
        </w:r>
      </w:hyperlink>
      <w:r w:rsidRPr="003161C5">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and </w:t>
      </w:r>
      <w:r w:rsidRPr="003161C5">
        <w:rPr>
          <w:rFonts w:ascii="Times New Roman" w:eastAsia="Times New Roman" w:hAnsi="Times New Roman" w:cs="Times New Roman"/>
          <w:sz w:val="24"/>
          <w:szCs w:val="24"/>
          <w:lang w:val="en-US" w:eastAsia="ru-RU"/>
        </w:rPr>
        <w:t xml:space="preserve">the reports with monitoring results were provided </w:t>
      </w:r>
      <w:r>
        <w:rPr>
          <w:rFonts w:ascii="Times New Roman" w:eastAsia="Times New Roman" w:hAnsi="Times New Roman" w:cs="Times New Roman"/>
          <w:sz w:val="24"/>
          <w:szCs w:val="24"/>
          <w:lang w:val="en-US" w:eastAsia="ru-RU"/>
        </w:rPr>
        <w:t xml:space="preserve">quarterly </w:t>
      </w:r>
      <w:r w:rsidRPr="003161C5">
        <w:rPr>
          <w:rFonts w:ascii="Times New Roman" w:eastAsia="Times New Roman" w:hAnsi="Times New Roman" w:cs="Times New Roman"/>
          <w:sz w:val="24"/>
          <w:szCs w:val="24"/>
          <w:lang w:val="en-US" w:eastAsia="ru-RU"/>
        </w:rPr>
        <w:t xml:space="preserve">to the Chairman and the members of the Board of Directors, </w:t>
      </w:r>
      <w:r>
        <w:rPr>
          <w:rFonts w:ascii="Times New Roman" w:eastAsia="Times New Roman" w:hAnsi="Times New Roman" w:cs="Times New Roman"/>
          <w:sz w:val="24"/>
          <w:szCs w:val="24"/>
          <w:lang w:val="en-US" w:eastAsia="ru-RU"/>
        </w:rPr>
        <w:t xml:space="preserve">and to </w:t>
      </w:r>
      <w:r w:rsidRPr="003161C5">
        <w:rPr>
          <w:rFonts w:ascii="Times New Roman" w:eastAsia="Times New Roman" w:hAnsi="Times New Roman" w:cs="Times New Roman"/>
          <w:sz w:val="24"/>
          <w:szCs w:val="24"/>
          <w:lang w:val="en-US" w:eastAsia="ru-RU"/>
        </w:rPr>
        <w:t>main subjects of reputational risk management.</w:t>
      </w:r>
    </w:p>
    <w:p w:rsidR="009B23BD" w:rsidRDefault="009B23BD" w:rsidP="009B23BD">
      <w:pPr>
        <w:tabs>
          <w:tab w:val="num" w:pos="567"/>
          <w:tab w:val="left" w:pos="600"/>
        </w:tabs>
        <w:spacing w:after="120" w:line="240" w:lineRule="auto"/>
        <w:ind w:firstLine="567"/>
        <w:jc w:val="both"/>
        <w:rPr>
          <w:rFonts w:ascii="Times New Roman" w:eastAsia="MS Mincho" w:hAnsi="Times New Roman" w:cs="Times New Roman"/>
          <w:sz w:val="24"/>
          <w:szCs w:val="24"/>
          <w:lang w:val="en-US" w:eastAsia="ja-JP"/>
        </w:rPr>
      </w:pPr>
      <w:r w:rsidRPr="003161C5">
        <w:rPr>
          <w:rFonts w:ascii="Times New Roman" w:eastAsia="MS Mincho" w:hAnsi="Times New Roman" w:cs="Times New Roman"/>
          <w:sz w:val="24"/>
          <w:szCs w:val="24"/>
          <w:lang w:val="en-US" w:eastAsia="ja-JP"/>
        </w:rPr>
        <w:t xml:space="preserve">In 2013 the </w:t>
      </w:r>
      <w:r w:rsidRPr="0084370F">
        <w:rPr>
          <w:rFonts w:ascii="Times New Roman" w:eastAsia="MS Mincho" w:hAnsi="Times New Roman" w:cs="Times New Roman"/>
          <w:sz w:val="24"/>
          <w:szCs w:val="24"/>
          <w:lang w:val="en-US" w:eastAsia="ja-JP"/>
        </w:rPr>
        <w:t>concept</w:t>
      </w:r>
      <w:r>
        <w:rPr>
          <w:rFonts w:ascii="Times New Roman" w:eastAsia="MS Mincho" w:hAnsi="Times New Roman" w:cs="Times New Roman"/>
          <w:sz w:val="24"/>
          <w:szCs w:val="24"/>
          <w:lang w:val="en-US" w:eastAsia="ja-JP"/>
        </w:rPr>
        <w:t xml:space="preserve"> was worked out to form a </w:t>
      </w:r>
      <w:r w:rsidRPr="003161C5">
        <w:rPr>
          <w:rFonts w:ascii="Times New Roman" w:eastAsia="MS Mincho" w:hAnsi="Times New Roman" w:cs="Times New Roman"/>
          <w:sz w:val="24"/>
          <w:szCs w:val="24"/>
          <w:lang w:val="en-US" w:eastAsia="ja-JP"/>
        </w:rPr>
        <w:t xml:space="preserve">system of </w:t>
      </w:r>
      <w:r>
        <w:rPr>
          <w:rFonts w:ascii="Times New Roman" w:eastAsia="MS Mincho" w:hAnsi="Times New Roman" w:cs="Times New Roman"/>
          <w:sz w:val="24"/>
          <w:szCs w:val="24"/>
          <w:lang w:val="en-US" w:eastAsia="ja-JP"/>
        </w:rPr>
        <w:t xml:space="preserve">an </w:t>
      </w:r>
      <w:r w:rsidRPr="003161C5">
        <w:rPr>
          <w:rFonts w:ascii="Times New Roman" w:eastAsia="MS Mincho" w:hAnsi="Times New Roman" w:cs="Times New Roman"/>
          <w:sz w:val="24"/>
          <w:szCs w:val="24"/>
          <w:lang w:val="en-US" w:eastAsia="ja-JP"/>
        </w:rPr>
        <w:t xml:space="preserve">informational and analytical </w:t>
      </w:r>
      <w:r>
        <w:rPr>
          <w:rFonts w:ascii="Times New Roman" w:eastAsia="MS Mincho" w:hAnsi="Times New Roman" w:cs="Times New Roman"/>
          <w:sz w:val="24"/>
          <w:szCs w:val="24"/>
          <w:lang w:val="en-US" w:eastAsia="ja-JP"/>
        </w:rPr>
        <w:t>support</w:t>
      </w:r>
      <w:r w:rsidRPr="003161C5">
        <w:rPr>
          <w:rFonts w:ascii="Times New Roman" w:eastAsia="MS Mincho" w:hAnsi="Times New Roman" w:cs="Times New Roman"/>
          <w:sz w:val="24"/>
          <w:szCs w:val="24"/>
          <w:lang w:val="en-US" w:eastAsia="ja-JP"/>
        </w:rPr>
        <w:t xml:space="preserve"> of reputational risk management process and </w:t>
      </w:r>
      <w:r>
        <w:rPr>
          <w:rFonts w:ascii="Times New Roman" w:eastAsia="MS Mincho" w:hAnsi="Times New Roman" w:cs="Times New Roman"/>
          <w:sz w:val="24"/>
          <w:szCs w:val="24"/>
          <w:lang w:val="en-US" w:eastAsia="ja-JP"/>
        </w:rPr>
        <w:t xml:space="preserve">it </w:t>
      </w:r>
      <w:r w:rsidRPr="003161C5">
        <w:rPr>
          <w:rFonts w:ascii="Times New Roman" w:eastAsia="MS Mincho" w:hAnsi="Times New Roman" w:cs="Times New Roman"/>
          <w:sz w:val="24"/>
          <w:szCs w:val="24"/>
          <w:lang w:val="en-US" w:eastAsia="ja-JP"/>
        </w:rPr>
        <w:t xml:space="preserve">is to be implemented in NCC. The realization of this project will help to ensure the continuity of </w:t>
      </w:r>
      <w:r w:rsidRPr="0084370F">
        <w:rPr>
          <w:rFonts w:ascii="Times New Roman" w:eastAsia="MS Mincho" w:hAnsi="Times New Roman" w:cs="Times New Roman"/>
          <w:sz w:val="24"/>
          <w:szCs w:val="24"/>
          <w:lang w:val="en-US" w:eastAsia="ja-JP"/>
        </w:rPr>
        <w:t>informing</w:t>
      </w:r>
      <w:r w:rsidRPr="003161C5">
        <w:rPr>
          <w:rFonts w:ascii="Times New Roman" w:eastAsia="MS Mincho" w:hAnsi="Times New Roman" w:cs="Times New Roman"/>
          <w:sz w:val="24"/>
          <w:szCs w:val="24"/>
          <w:lang w:val="en-US" w:eastAsia="ja-JP"/>
        </w:rPr>
        <w:t xml:space="preserve">, </w:t>
      </w:r>
      <w:r>
        <w:rPr>
          <w:rFonts w:ascii="Times New Roman" w:eastAsia="MS Mincho" w:hAnsi="Times New Roman" w:cs="Times New Roman"/>
          <w:sz w:val="24"/>
          <w:szCs w:val="24"/>
          <w:lang w:val="en-US" w:eastAsia="ja-JP"/>
        </w:rPr>
        <w:t xml:space="preserve">analyzing </w:t>
      </w:r>
      <w:r w:rsidRPr="003161C5">
        <w:rPr>
          <w:rFonts w:ascii="Times New Roman" w:eastAsia="MS Mincho" w:hAnsi="Times New Roman" w:cs="Times New Roman"/>
          <w:sz w:val="24"/>
          <w:szCs w:val="24"/>
          <w:lang w:val="en-US" w:eastAsia="ja-JP"/>
        </w:rPr>
        <w:t xml:space="preserve">, risk level </w:t>
      </w:r>
      <w:r>
        <w:rPr>
          <w:rFonts w:ascii="Times New Roman" w:eastAsia="MS Mincho" w:hAnsi="Times New Roman" w:cs="Times New Roman"/>
          <w:sz w:val="24"/>
          <w:szCs w:val="24"/>
          <w:lang w:val="en-US" w:eastAsia="ja-JP"/>
        </w:rPr>
        <w:t>assessing   in</w:t>
      </w:r>
      <w:r w:rsidRPr="003161C5">
        <w:rPr>
          <w:rFonts w:ascii="Times New Roman" w:eastAsia="MS Mincho" w:hAnsi="Times New Roman" w:cs="Times New Roman"/>
          <w:sz w:val="24"/>
          <w:szCs w:val="24"/>
          <w:lang w:val="en-US" w:eastAsia="ja-JP"/>
        </w:rPr>
        <w:t xml:space="preserve"> accord</w:t>
      </w:r>
      <w:r>
        <w:rPr>
          <w:rFonts w:ascii="Times New Roman" w:eastAsia="MS Mincho" w:hAnsi="Times New Roman" w:cs="Times New Roman"/>
          <w:sz w:val="24"/>
          <w:szCs w:val="24"/>
          <w:lang w:val="en-US" w:eastAsia="ja-JP"/>
        </w:rPr>
        <w:t>ance with</w:t>
      </w:r>
      <w:r w:rsidRPr="003161C5">
        <w:rPr>
          <w:rFonts w:ascii="Times New Roman" w:eastAsia="MS Mincho" w:hAnsi="Times New Roman" w:cs="Times New Roman"/>
          <w:sz w:val="24"/>
          <w:szCs w:val="24"/>
          <w:lang w:val="en-US" w:eastAsia="ja-JP"/>
        </w:rPr>
        <w:t xml:space="preserve"> the created scale, and also the monitoring and control over </w:t>
      </w:r>
      <w:r w:rsidRPr="0084370F">
        <w:rPr>
          <w:rFonts w:ascii="Times New Roman" w:eastAsia="MS Mincho" w:hAnsi="Times New Roman" w:cs="Times New Roman"/>
          <w:sz w:val="24"/>
          <w:szCs w:val="24"/>
          <w:lang w:val="en-US" w:eastAsia="ja-JP"/>
        </w:rPr>
        <w:t>the</w:t>
      </w:r>
      <w:r w:rsidRPr="00953626">
        <w:rPr>
          <w:rFonts w:ascii="Times New Roman" w:eastAsia="MS Mincho" w:hAnsi="Times New Roman" w:cs="Times New Roman"/>
          <w:sz w:val="24"/>
          <w:szCs w:val="24"/>
          <w:highlight w:val="yellow"/>
          <w:lang w:val="en-US" w:eastAsia="ja-JP"/>
        </w:rPr>
        <w:t xml:space="preserve"> </w:t>
      </w:r>
      <w:r w:rsidRPr="0084370F">
        <w:rPr>
          <w:rFonts w:ascii="Times New Roman" w:eastAsia="MS Mincho" w:hAnsi="Times New Roman" w:cs="Times New Roman"/>
          <w:sz w:val="24"/>
          <w:szCs w:val="24"/>
          <w:lang w:val="en-US" w:eastAsia="ja-JP"/>
        </w:rPr>
        <w:t>measures</w:t>
      </w:r>
      <w:r w:rsidRPr="003161C5">
        <w:rPr>
          <w:rFonts w:ascii="Times New Roman" w:eastAsia="MS Mincho" w:hAnsi="Times New Roman" w:cs="Times New Roman"/>
          <w:sz w:val="24"/>
          <w:szCs w:val="24"/>
          <w:lang w:val="en-US" w:eastAsia="ja-JP"/>
        </w:rPr>
        <w:t xml:space="preserve"> taken to eliminate reasons for</w:t>
      </w:r>
      <w:r>
        <w:rPr>
          <w:rFonts w:ascii="Times New Roman" w:eastAsia="MS Mincho" w:hAnsi="Times New Roman" w:cs="Times New Roman"/>
          <w:sz w:val="24"/>
          <w:szCs w:val="24"/>
          <w:lang w:val="en-US" w:eastAsia="ja-JP"/>
        </w:rPr>
        <w:t xml:space="preserve"> the</w:t>
      </w:r>
      <w:r w:rsidRPr="003161C5">
        <w:rPr>
          <w:rFonts w:ascii="Times New Roman" w:eastAsia="MS Mincho" w:hAnsi="Times New Roman" w:cs="Times New Roman"/>
          <w:sz w:val="24"/>
          <w:szCs w:val="24"/>
          <w:lang w:val="en-US" w:eastAsia="ja-JP"/>
        </w:rPr>
        <w:t xml:space="preserve"> reputational risk appearance. </w:t>
      </w:r>
    </w:p>
    <w:p w:rsidR="00D55472" w:rsidRDefault="00D55472" w:rsidP="009B23BD">
      <w:pPr>
        <w:tabs>
          <w:tab w:val="num" w:pos="567"/>
          <w:tab w:val="left" w:pos="600"/>
        </w:tabs>
        <w:spacing w:after="120" w:line="240" w:lineRule="auto"/>
        <w:ind w:firstLine="567"/>
        <w:jc w:val="both"/>
        <w:rPr>
          <w:rFonts w:ascii="Times New Roman" w:eastAsia="MS Mincho" w:hAnsi="Times New Roman" w:cs="Times New Roman"/>
          <w:sz w:val="24"/>
          <w:szCs w:val="24"/>
          <w:lang w:val="en-US" w:eastAsia="ja-JP"/>
        </w:rPr>
      </w:pPr>
    </w:p>
    <w:p w:rsidR="00D55472" w:rsidRPr="005A255B" w:rsidRDefault="00D55472" w:rsidP="00D55472">
      <w:pPr>
        <w:keepNext/>
        <w:widowControl w:val="0"/>
        <w:overflowPunct w:val="0"/>
        <w:autoSpaceDE w:val="0"/>
        <w:autoSpaceDN w:val="0"/>
        <w:adjustRightInd w:val="0"/>
        <w:spacing w:before="100" w:after="120" w:line="240" w:lineRule="auto"/>
        <w:jc w:val="center"/>
        <w:textAlignment w:val="baseline"/>
        <w:outlineLvl w:val="0"/>
        <w:rPr>
          <w:rFonts w:ascii="Times New Roman" w:eastAsia="Times New Roman" w:hAnsi="Times New Roman" w:cs="Times New Roman"/>
          <w:b/>
          <w:bCs/>
          <w:kern w:val="32"/>
          <w:sz w:val="28"/>
          <w:szCs w:val="28"/>
          <w:lang w:val="en-US" w:eastAsia="ru-RU"/>
        </w:rPr>
      </w:pPr>
      <w:bookmarkStart w:id="7" w:name="_Toc391636106"/>
      <w:proofErr w:type="gramStart"/>
      <w:r w:rsidRPr="00290701">
        <w:rPr>
          <w:rFonts w:ascii="Times New Roman" w:eastAsia="Times New Roman" w:hAnsi="Times New Roman" w:cs="Times New Roman"/>
          <w:b/>
          <w:bCs/>
          <w:kern w:val="32"/>
          <w:sz w:val="28"/>
          <w:szCs w:val="28"/>
          <w:lang w:val="en-US" w:eastAsia="ru-RU"/>
        </w:rPr>
        <w:t>8.</w:t>
      </w:r>
      <w:r w:rsidRPr="005A255B">
        <w:rPr>
          <w:rFonts w:ascii="Times New Roman" w:eastAsia="Times New Roman" w:hAnsi="Times New Roman" w:cs="Times New Roman"/>
          <w:b/>
          <w:bCs/>
          <w:kern w:val="32"/>
          <w:sz w:val="28"/>
          <w:szCs w:val="28"/>
          <w:lang w:val="en-US" w:eastAsia="ru-RU"/>
        </w:rPr>
        <w:t>Technological</w:t>
      </w:r>
      <w:proofErr w:type="gramEnd"/>
      <w:r w:rsidRPr="005A255B">
        <w:rPr>
          <w:rFonts w:ascii="Times New Roman" w:eastAsia="Times New Roman" w:hAnsi="Times New Roman" w:cs="Times New Roman"/>
          <w:b/>
          <w:bCs/>
          <w:kern w:val="32"/>
          <w:sz w:val="28"/>
          <w:szCs w:val="28"/>
          <w:lang w:val="en-US" w:eastAsia="ru-RU"/>
        </w:rPr>
        <w:t xml:space="preserve"> Platform</w:t>
      </w:r>
      <w:bookmarkEnd w:id="7"/>
    </w:p>
    <w:p w:rsidR="00D55472" w:rsidRPr="005A255B" w:rsidRDefault="00D55472" w:rsidP="00D55472">
      <w:pPr>
        <w:widowControl w:val="0"/>
        <w:tabs>
          <w:tab w:val="left" w:pos="8820"/>
        </w:tabs>
        <w:overflowPunct w:val="0"/>
        <w:autoSpaceDE w:val="0"/>
        <w:autoSpaceDN w:val="0"/>
        <w:adjustRightInd w:val="0"/>
        <w:spacing w:before="100" w:after="120" w:line="240" w:lineRule="auto"/>
        <w:jc w:val="center"/>
        <w:textAlignment w:val="baseline"/>
        <w:rPr>
          <w:rFonts w:ascii="Times New Roman" w:eastAsia="Times New Roman" w:hAnsi="Times New Roman" w:cs="Times New Roman"/>
          <w:b/>
          <w:sz w:val="24"/>
          <w:szCs w:val="24"/>
          <w:lang w:val="en-US" w:eastAsia="ru-RU"/>
        </w:rPr>
      </w:pPr>
    </w:p>
    <w:p w:rsidR="00D55472" w:rsidRPr="005A255B" w:rsidRDefault="00D55472" w:rsidP="00D55472">
      <w:pPr>
        <w:autoSpaceDN w:val="0"/>
        <w:spacing w:after="120" w:line="240" w:lineRule="auto"/>
        <w:ind w:firstLine="567"/>
        <w:jc w:val="both"/>
        <w:rPr>
          <w:rFonts w:ascii="Times New Roman" w:eastAsia="Calibri" w:hAnsi="Times New Roman" w:cs="Times New Roman"/>
          <w:sz w:val="24"/>
          <w:szCs w:val="24"/>
          <w:lang w:val="en-US"/>
        </w:rPr>
      </w:pPr>
      <w:r w:rsidRPr="005A255B">
        <w:rPr>
          <w:rFonts w:ascii="Times New Roman" w:eastAsia="Calibri" w:hAnsi="Times New Roman" w:cs="Times New Roman"/>
          <w:sz w:val="24"/>
          <w:szCs w:val="24"/>
          <w:lang w:val="en-US"/>
        </w:rPr>
        <w:t>NCC technology platform complies with</w:t>
      </w:r>
      <w:r w:rsidR="0019248E">
        <w:rPr>
          <w:rFonts w:ascii="Times New Roman" w:eastAsia="Calibri" w:hAnsi="Times New Roman" w:cs="Times New Roman"/>
          <w:sz w:val="24"/>
          <w:szCs w:val="24"/>
          <w:lang w:val="en-US"/>
        </w:rPr>
        <w:t xml:space="preserve"> the</w:t>
      </w:r>
      <w:r w:rsidRPr="005A255B">
        <w:rPr>
          <w:rFonts w:ascii="Times New Roman" w:eastAsia="Calibri" w:hAnsi="Times New Roman" w:cs="Times New Roman"/>
          <w:sz w:val="24"/>
          <w:szCs w:val="24"/>
          <w:lang w:val="en-US"/>
        </w:rPr>
        <w:t xml:space="preserve"> international standards of reliability, fault tolerance and </w:t>
      </w:r>
      <w:r w:rsidRPr="00E43A59">
        <w:rPr>
          <w:rFonts w:ascii="Times New Roman" w:eastAsia="Calibri" w:hAnsi="Times New Roman" w:cs="Times New Roman"/>
          <w:sz w:val="24"/>
          <w:szCs w:val="24"/>
          <w:lang w:val="en-US"/>
        </w:rPr>
        <w:t>capacity</w:t>
      </w:r>
      <w:r w:rsidRPr="005A255B">
        <w:rPr>
          <w:rFonts w:ascii="Times New Roman" w:eastAsia="Calibri" w:hAnsi="Times New Roman" w:cs="Times New Roman"/>
          <w:sz w:val="24"/>
          <w:szCs w:val="24"/>
          <w:lang w:val="en-US"/>
        </w:rPr>
        <w:t xml:space="preserve">, as well as </w:t>
      </w:r>
      <w:r w:rsidR="003D39CF">
        <w:rPr>
          <w:rFonts w:ascii="Times New Roman" w:eastAsia="Calibri" w:hAnsi="Times New Roman" w:cs="Times New Roman"/>
          <w:sz w:val="24"/>
          <w:szCs w:val="24"/>
          <w:lang w:val="en-US"/>
        </w:rPr>
        <w:t xml:space="preserve">with </w:t>
      </w:r>
      <w:r w:rsidRPr="005A255B">
        <w:rPr>
          <w:rFonts w:ascii="Times New Roman" w:eastAsia="Calibri" w:hAnsi="Times New Roman" w:cs="Times New Roman"/>
          <w:sz w:val="24"/>
          <w:szCs w:val="24"/>
          <w:lang w:val="en-US"/>
        </w:rPr>
        <w:t xml:space="preserve">the requirements of </w:t>
      </w:r>
      <w:r w:rsidR="0019248E">
        <w:rPr>
          <w:rFonts w:ascii="Times New Roman" w:eastAsia="Calibri" w:hAnsi="Times New Roman" w:cs="Times New Roman"/>
          <w:sz w:val="24"/>
          <w:szCs w:val="24"/>
          <w:lang w:val="en-US"/>
        </w:rPr>
        <w:t>rapid</w:t>
      </w:r>
      <w:r w:rsidRPr="005A255B">
        <w:rPr>
          <w:rFonts w:ascii="Times New Roman" w:eastAsia="Calibri" w:hAnsi="Times New Roman" w:cs="Times New Roman"/>
          <w:sz w:val="24"/>
          <w:szCs w:val="24"/>
          <w:lang w:val="en-US"/>
        </w:rPr>
        <w:t xml:space="preserve"> adaptations to the changing needs of the Moscow Exchange market </w:t>
      </w:r>
      <w:r w:rsidR="0019248E">
        <w:rPr>
          <w:rFonts w:ascii="Times New Roman" w:eastAsia="Calibri" w:hAnsi="Times New Roman" w:cs="Times New Roman"/>
          <w:sz w:val="24"/>
          <w:szCs w:val="24"/>
          <w:lang w:val="en-US"/>
        </w:rPr>
        <w:t>and with</w:t>
      </w:r>
      <w:r w:rsidRPr="005A255B">
        <w:rPr>
          <w:rFonts w:ascii="Times New Roman" w:eastAsia="Calibri" w:hAnsi="Times New Roman" w:cs="Times New Roman"/>
          <w:sz w:val="24"/>
          <w:szCs w:val="24"/>
          <w:lang w:val="en-US"/>
        </w:rPr>
        <w:t xml:space="preserve"> changes in </w:t>
      </w:r>
      <w:r w:rsidR="0019248E">
        <w:rPr>
          <w:rFonts w:ascii="Times New Roman" w:eastAsia="Calibri" w:hAnsi="Times New Roman" w:cs="Times New Roman"/>
          <w:sz w:val="24"/>
          <w:szCs w:val="24"/>
          <w:lang w:val="en-US"/>
        </w:rPr>
        <w:t xml:space="preserve">the </w:t>
      </w:r>
      <w:r w:rsidRPr="00290701">
        <w:rPr>
          <w:rFonts w:ascii="Times New Roman" w:hAnsi="Times New Roman"/>
          <w:sz w:val="24"/>
          <w:lang w:val="en-US"/>
        </w:rPr>
        <w:t>bank regulation</w:t>
      </w:r>
      <w:r w:rsidRPr="005A255B">
        <w:rPr>
          <w:rFonts w:ascii="Times New Roman" w:eastAsia="Calibri" w:hAnsi="Times New Roman" w:cs="Times New Roman"/>
          <w:sz w:val="24"/>
          <w:szCs w:val="24"/>
          <w:lang w:val="en-US"/>
        </w:rPr>
        <w:t xml:space="preserve">. </w:t>
      </w:r>
      <w:r w:rsidR="0019248E">
        <w:rPr>
          <w:rFonts w:ascii="Times New Roman" w:eastAsia="Calibri" w:hAnsi="Times New Roman" w:cs="Times New Roman"/>
          <w:sz w:val="24"/>
          <w:szCs w:val="24"/>
          <w:lang w:val="en-US"/>
        </w:rPr>
        <w:t xml:space="preserve">The </w:t>
      </w:r>
      <w:proofErr w:type="gramStart"/>
      <w:r w:rsidRPr="005A255B">
        <w:rPr>
          <w:rFonts w:ascii="Times New Roman" w:eastAsia="Calibri" w:hAnsi="Times New Roman" w:cs="Times New Roman"/>
          <w:sz w:val="24"/>
          <w:szCs w:val="24"/>
          <w:lang w:val="en-US"/>
        </w:rPr>
        <w:t>unique</w:t>
      </w:r>
      <w:r w:rsidRPr="00290701">
        <w:rPr>
          <w:rFonts w:ascii="Times New Roman" w:eastAsia="Calibri" w:hAnsi="Times New Roman" w:cs="Times New Roman"/>
          <w:sz w:val="24"/>
          <w:szCs w:val="24"/>
          <w:lang w:val="en-US"/>
        </w:rPr>
        <w:t xml:space="preserve"> </w:t>
      </w:r>
      <w:r w:rsidR="00FB275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feature</w:t>
      </w:r>
      <w:proofErr w:type="gramEnd"/>
      <w:r w:rsidRPr="005A255B">
        <w:rPr>
          <w:rFonts w:ascii="Times New Roman" w:eastAsia="Calibri" w:hAnsi="Times New Roman" w:cs="Times New Roman"/>
          <w:sz w:val="24"/>
          <w:szCs w:val="24"/>
          <w:lang w:val="en-US"/>
        </w:rPr>
        <w:t xml:space="preserve"> of the technology platform is determined by specifics of  NCC as a </w:t>
      </w:r>
      <w:r>
        <w:rPr>
          <w:rFonts w:ascii="Times New Roman" w:eastAsia="Calibri" w:hAnsi="Times New Roman" w:cs="Times New Roman"/>
          <w:sz w:val="24"/>
          <w:szCs w:val="24"/>
          <w:lang w:val="en-US"/>
        </w:rPr>
        <w:t>CCP</w:t>
      </w:r>
      <w:r w:rsidRPr="005A255B">
        <w:rPr>
          <w:rFonts w:ascii="Times New Roman" w:eastAsia="Calibri" w:hAnsi="Times New Roman" w:cs="Times New Roman"/>
          <w:sz w:val="24"/>
          <w:szCs w:val="24"/>
          <w:lang w:val="en-US"/>
        </w:rPr>
        <w:t xml:space="preserve"> that is a seller for every buyer and </w:t>
      </w:r>
      <w:r w:rsidR="0019248E">
        <w:rPr>
          <w:rFonts w:ascii="Times New Roman" w:eastAsia="Calibri" w:hAnsi="Times New Roman" w:cs="Times New Roman"/>
          <w:sz w:val="24"/>
          <w:szCs w:val="24"/>
          <w:lang w:val="en-US"/>
        </w:rPr>
        <w:t xml:space="preserve">a </w:t>
      </w:r>
      <w:r w:rsidRPr="005A255B">
        <w:rPr>
          <w:rFonts w:ascii="Times New Roman" w:eastAsia="Calibri" w:hAnsi="Times New Roman" w:cs="Times New Roman"/>
          <w:sz w:val="24"/>
          <w:szCs w:val="24"/>
          <w:lang w:val="en-US"/>
        </w:rPr>
        <w:t xml:space="preserve">buyer to every seller on trades made in the </w:t>
      </w:r>
      <w:r w:rsidR="0019248E">
        <w:rPr>
          <w:rFonts w:ascii="Times New Roman" w:eastAsia="Calibri" w:hAnsi="Times New Roman" w:cs="Times New Roman"/>
          <w:sz w:val="24"/>
          <w:szCs w:val="24"/>
          <w:lang w:val="en-US"/>
        </w:rPr>
        <w:t xml:space="preserve">cause of the </w:t>
      </w:r>
      <w:r w:rsidR="0019248E" w:rsidRPr="005A255B">
        <w:rPr>
          <w:rFonts w:ascii="Times New Roman" w:eastAsia="Calibri" w:hAnsi="Times New Roman" w:cs="Times New Roman"/>
          <w:sz w:val="24"/>
          <w:szCs w:val="24"/>
          <w:lang w:val="en-US"/>
        </w:rPr>
        <w:t xml:space="preserve">centralized clearing </w:t>
      </w:r>
      <w:r w:rsidRPr="005A255B">
        <w:rPr>
          <w:rFonts w:ascii="Times New Roman" w:eastAsia="Calibri" w:hAnsi="Times New Roman" w:cs="Times New Roman"/>
          <w:sz w:val="24"/>
          <w:szCs w:val="24"/>
          <w:lang w:val="en-US"/>
        </w:rPr>
        <w:t>implementation . This means the need to process and reflect properly trades, assets and liabilities in the NCC systems as</w:t>
      </w:r>
      <w:r w:rsidR="0019248E">
        <w:rPr>
          <w:rFonts w:ascii="Times New Roman" w:eastAsia="Calibri" w:hAnsi="Times New Roman" w:cs="Times New Roman"/>
          <w:sz w:val="24"/>
          <w:szCs w:val="24"/>
          <w:lang w:val="en-US"/>
        </w:rPr>
        <w:t xml:space="preserve"> a</w:t>
      </w:r>
      <w:r w:rsidRPr="005A255B">
        <w:rPr>
          <w:rFonts w:ascii="Times New Roman" w:eastAsia="Calibri" w:hAnsi="Times New Roman" w:cs="Times New Roman"/>
          <w:sz w:val="24"/>
          <w:szCs w:val="24"/>
          <w:lang w:val="en-US"/>
        </w:rPr>
        <w:t xml:space="preserve"> bank </w:t>
      </w:r>
      <w:proofErr w:type="spellStart"/>
      <w:r w:rsidRPr="005A255B">
        <w:rPr>
          <w:rFonts w:ascii="Times New Roman" w:eastAsia="Calibri" w:hAnsi="Times New Roman" w:cs="Times New Roman"/>
          <w:sz w:val="24"/>
          <w:szCs w:val="24"/>
          <w:lang w:val="en-US"/>
        </w:rPr>
        <w:t>and</w:t>
      </w:r>
      <w:r w:rsidR="0019248E">
        <w:rPr>
          <w:rFonts w:ascii="Times New Roman" w:eastAsia="Calibri" w:hAnsi="Times New Roman" w:cs="Times New Roman"/>
          <w:sz w:val="24"/>
          <w:szCs w:val="24"/>
          <w:lang w:val="en-US"/>
        </w:rPr>
        <w:t>a</w:t>
      </w:r>
      <w:proofErr w:type="spellEnd"/>
      <w:r w:rsidRPr="005A255B">
        <w:rPr>
          <w:rFonts w:ascii="Times New Roman" w:eastAsia="Calibri" w:hAnsi="Times New Roman" w:cs="Times New Roman"/>
          <w:sz w:val="24"/>
          <w:szCs w:val="24"/>
          <w:lang w:val="en-US"/>
        </w:rPr>
        <w:t xml:space="preserve"> central counterparty in amounts not comparable with the volume of trades of other market participants (average daily volume of trades processed </w:t>
      </w:r>
      <w:r w:rsidR="0019248E">
        <w:rPr>
          <w:rFonts w:ascii="Times New Roman" w:eastAsia="Calibri" w:hAnsi="Times New Roman" w:cs="Times New Roman"/>
          <w:sz w:val="24"/>
          <w:szCs w:val="24"/>
          <w:lang w:val="en-US"/>
        </w:rPr>
        <w:t xml:space="preserve">totals </w:t>
      </w:r>
      <w:r w:rsidRPr="005A255B">
        <w:rPr>
          <w:rFonts w:ascii="Times New Roman" w:eastAsia="Calibri" w:hAnsi="Times New Roman" w:cs="Times New Roman"/>
          <w:sz w:val="24"/>
          <w:szCs w:val="24"/>
          <w:lang w:val="en-US"/>
        </w:rPr>
        <w:t xml:space="preserve">1.5 million). Speed, </w:t>
      </w:r>
      <w:r w:rsidRPr="00E43A59">
        <w:rPr>
          <w:rFonts w:ascii="Times New Roman" w:eastAsia="Calibri" w:hAnsi="Times New Roman" w:cs="Times New Roman"/>
          <w:sz w:val="24"/>
          <w:szCs w:val="24"/>
          <w:lang w:val="en-US"/>
        </w:rPr>
        <w:t>capacity</w:t>
      </w:r>
      <w:r w:rsidRPr="005A255B" w:rsidDel="00FB35AA">
        <w:rPr>
          <w:rFonts w:ascii="Times New Roman" w:eastAsia="Calibri" w:hAnsi="Times New Roman" w:cs="Times New Roman"/>
          <w:sz w:val="24"/>
          <w:szCs w:val="24"/>
          <w:lang w:val="en-US"/>
        </w:rPr>
        <w:t xml:space="preserve"> </w:t>
      </w:r>
      <w:r w:rsidRPr="005A255B">
        <w:rPr>
          <w:rFonts w:ascii="Times New Roman" w:eastAsia="Calibri" w:hAnsi="Times New Roman" w:cs="Times New Roman"/>
          <w:sz w:val="24"/>
          <w:szCs w:val="24"/>
          <w:lang w:val="en-US"/>
        </w:rPr>
        <w:t>and reliability of systems’ operation mean that any potential failures in the systems and equipment operations are critical to ensure business continuity. In 2013, the availability of software and hardware complex for the most critical systems of automated data processing amounted to 99.98%.</w:t>
      </w:r>
    </w:p>
    <w:p w:rsidR="00D55472" w:rsidRPr="005A255B" w:rsidRDefault="00D55472" w:rsidP="00D55472">
      <w:pPr>
        <w:autoSpaceDN w:val="0"/>
        <w:spacing w:after="120" w:line="240" w:lineRule="auto"/>
        <w:ind w:firstLine="567"/>
        <w:jc w:val="both"/>
        <w:rPr>
          <w:rFonts w:ascii="Times New Roman" w:eastAsia="Calibri" w:hAnsi="Times New Roman" w:cs="Times New Roman"/>
          <w:sz w:val="24"/>
          <w:szCs w:val="24"/>
          <w:lang w:val="en-US"/>
        </w:rPr>
      </w:pPr>
      <w:r w:rsidRPr="005A255B">
        <w:rPr>
          <w:rFonts w:ascii="Times New Roman" w:eastAsia="Calibri" w:hAnsi="Times New Roman" w:cs="Times New Roman"/>
          <w:sz w:val="24"/>
          <w:szCs w:val="24"/>
          <w:lang w:val="en-US"/>
        </w:rPr>
        <w:t xml:space="preserve">In 2013, a considerable automation of new services and changes that occur in the infrastructure markets of the Moscow Stock Exchange was performed. Among the most significant are </w:t>
      </w:r>
      <w:r w:rsidR="0019248E">
        <w:rPr>
          <w:rFonts w:ascii="Times New Roman" w:eastAsia="Calibri" w:hAnsi="Times New Roman" w:cs="Times New Roman"/>
          <w:sz w:val="24"/>
          <w:szCs w:val="24"/>
          <w:lang w:val="en-US"/>
        </w:rPr>
        <w:t xml:space="preserve"> </w:t>
      </w:r>
      <w:r w:rsidRPr="005A255B">
        <w:rPr>
          <w:rFonts w:ascii="Times New Roman" w:eastAsia="Calibri" w:hAnsi="Times New Roman" w:cs="Times New Roman"/>
          <w:sz w:val="24"/>
          <w:szCs w:val="24"/>
          <w:lang w:val="en-US"/>
        </w:rPr>
        <w:t xml:space="preserve"> </w:t>
      </w:r>
      <w:proofErr w:type="gramStart"/>
      <w:r w:rsidRPr="005A255B">
        <w:rPr>
          <w:rFonts w:ascii="Times New Roman" w:eastAsia="Calibri" w:hAnsi="Times New Roman" w:cs="Times New Roman"/>
          <w:sz w:val="24"/>
          <w:szCs w:val="24"/>
          <w:lang w:val="en-US"/>
        </w:rPr>
        <w:t xml:space="preserve">4 </w:t>
      </w:r>
      <w:r w:rsidR="0019248E">
        <w:rPr>
          <w:rFonts w:ascii="Times New Roman" w:eastAsia="Calibri" w:hAnsi="Times New Roman" w:cs="Times New Roman"/>
          <w:sz w:val="24"/>
          <w:szCs w:val="24"/>
          <w:lang w:val="en-US"/>
        </w:rPr>
        <w:t xml:space="preserve"> </w:t>
      </w:r>
      <w:r w:rsidRPr="005A255B">
        <w:rPr>
          <w:rFonts w:ascii="Times New Roman" w:eastAsia="Calibri" w:hAnsi="Times New Roman" w:cs="Times New Roman"/>
          <w:sz w:val="24"/>
          <w:szCs w:val="24"/>
          <w:lang w:val="en-US"/>
        </w:rPr>
        <w:t>large</w:t>
      </w:r>
      <w:proofErr w:type="gramEnd"/>
      <w:r w:rsidRPr="005A255B">
        <w:rPr>
          <w:rFonts w:ascii="Times New Roman" w:eastAsia="Calibri" w:hAnsi="Times New Roman" w:cs="Times New Roman"/>
          <w:sz w:val="24"/>
          <w:szCs w:val="24"/>
          <w:lang w:val="en-US"/>
        </w:rPr>
        <w:t>-scale project</w:t>
      </w:r>
      <w:r w:rsidR="0019248E">
        <w:rPr>
          <w:rFonts w:ascii="Times New Roman" w:eastAsia="Calibri" w:hAnsi="Times New Roman" w:cs="Times New Roman"/>
          <w:sz w:val="24"/>
          <w:szCs w:val="24"/>
          <w:lang w:val="en-US"/>
        </w:rPr>
        <w:t>s</w:t>
      </w:r>
      <w:r w:rsidRPr="005A255B">
        <w:rPr>
          <w:rFonts w:ascii="Times New Roman" w:eastAsia="Calibri" w:hAnsi="Times New Roman" w:cs="Times New Roman"/>
          <w:sz w:val="24"/>
          <w:szCs w:val="24"/>
          <w:lang w:val="en-US"/>
        </w:rPr>
        <w:t xml:space="preserve">: </w:t>
      </w:r>
    </w:p>
    <w:p w:rsidR="00D55472" w:rsidRPr="005A255B" w:rsidRDefault="00D55472" w:rsidP="00472CA4">
      <w:pPr>
        <w:numPr>
          <w:ilvl w:val="0"/>
          <w:numId w:val="39"/>
        </w:numPr>
        <w:tabs>
          <w:tab w:val="left" w:pos="1843"/>
        </w:tabs>
        <w:autoSpaceDN w:val="0"/>
        <w:spacing w:after="120" w:line="240" w:lineRule="auto"/>
        <w:ind w:left="1276" w:hanging="425"/>
        <w:jc w:val="both"/>
        <w:rPr>
          <w:rFonts w:ascii="Times New Roman" w:eastAsia="Calibri" w:hAnsi="Times New Roman" w:cs="Times New Roman"/>
          <w:sz w:val="24"/>
          <w:szCs w:val="24"/>
          <w:lang w:val="en-US"/>
        </w:rPr>
      </w:pPr>
      <w:r w:rsidRPr="005A255B">
        <w:rPr>
          <w:rFonts w:ascii="Times New Roman" w:eastAsia="Calibri" w:hAnsi="Times New Roman" w:cs="Times New Roman"/>
          <w:sz w:val="24"/>
          <w:szCs w:val="24"/>
          <w:lang w:val="en-US"/>
        </w:rPr>
        <w:t>Automation of accounting</w:t>
      </w:r>
      <w:r w:rsidR="0019248E">
        <w:rPr>
          <w:rFonts w:ascii="Times New Roman" w:eastAsia="Calibri" w:hAnsi="Times New Roman" w:cs="Times New Roman"/>
          <w:sz w:val="24"/>
          <w:szCs w:val="24"/>
          <w:lang w:val="en-US"/>
        </w:rPr>
        <w:t xml:space="preserve"> of </w:t>
      </w:r>
      <w:r w:rsidRPr="0019248E">
        <w:rPr>
          <w:rFonts w:ascii="Times New Roman" w:eastAsia="Calibri" w:hAnsi="Times New Roman" w:cs="Times New Roman"/>
          <w:sz w:val="24"/>
          <w:szCs w:val="24"/>
          <w:lang w:val="en-US"/>
        </w:rPr>
        <w:t>CCP trades and</w:t>
      </w:r>
      <w:r w:rsidRPr="005A255B">
        <w:rPr>
          <w:rFonts w:ascii="Times New Roman" w:eastAsia="Calibri" w:hAnsi="Times New Roman" w:cs="Times New Roman"/>
          <w:sz w:val="24"/>
          <w:szCs w:val="24"/>
          <w:lang w:val="en-US"/>
        </w:rPr>
        <w:t xml:space="preserve"> settlements (in foreign currency and </w:t>
      </w:r>
      <w:r>
        <w:rPr>
          <w:rFonts w:ascii="Times New Roman" w:eastAsia="Calibri" w:hAnsi="Times New Roman" w:cs="Times New Roman"/>
          <w:sz w:val="24"/>
          <w:szCs w:val="24"/>
          <w:lang w:val="en-US"/>
        </w:rPr>
        <w:t xml:space="preserve">precious </w:t>
      </w:r>
      <w:r w:rsidRPr="005A255B">
        <w:rPr>
          <w:rFonts w:ascii="Times New Roman" w:eastAsia="Calibri" w:hAnsi="Times New Roman" w:cs="Times New Roman"/>
          <w:sz w:val="24"/>
          <w:szCs w:val="24"/>
          <w:lang w:val="en-US"/>
        </w:rPr>
        <w:t>metals) on the</w:t>
      </w:r>
      <w:r>
        <w:rPr>
          <w:rFonts w:ascii="Times New Roman" w:eastAsia="Calibri" w:hAnsi="Times New Roman" w:cs="Times New Roman"/>
          <w:sz w:val="24"/>
          <w:szCs w:val="24"/>
          <w:lang w:val="en-US"/>
        </w:rPr>
        <w:t xml:space="preserve"> precious </w:t>
      </w:r>
      <w:r w:rsidRPr="005A255B">
        <w:rPr>
          <w:rFonts w:ascii="Times New Roman" w:eastAsia="Calibri" w:hAnsi="Times New Roman" w:cs="Times New Roman"/>
          <w:sz w:val="24"/>
          <w:szCs w:val="24"/>
          <w:lang w:val="en-US"/>
        </w:rPr>
        <w:t>metals market</w:t>
      </w:r>
      <w:r>
        <w:rPr>
          <w:rFonts w:ascii="Times New Roman" w:eastAsia="Calibri" w:hAnsi="Times New Roman" w:cs="Times New Roman"/>
          <w:sz w:val="24"/>
          <w:szCs w:val="24"/>
          <w:lang w:val="en-US"/>
        </w:rPr>
        <w:t>.</w:t>
      </w:r>
    </w:p>
    <w:p w:rsidR="00D55472" w:rsidRPr="005A255B" w:rsidRDefault="00D55472" w:rsidP="00472CA4">
      <w:pPr>
        <w:numPr>
          <w:ilvl w:val="0"/>
          <w:numId w:val="39"/>
        </w:numPr>
        <w:autoSpaceDN w:val="0"/>
        <w:spacing w:after="120" w:line="240" w:lineRule="auto"/>
        <w:ind w:left="1276" w:hanging="425"/>
        <w:jc w:val="both"/>
        <w:rPr>
          <w:rFonts w:ascii="Times New Roman" w:eastAsia="Calibri" w:hAnsi="Times New Roman" w:cs="Times New Roman"/>
          <w:sz w:val="24"/>
          <w:szCs w:val="24"/>
          <w:lang w:val="en-US"/>
        </w:rPr>
      </w:pPr>
      <w:r w:rsidRPr="006A301B">
        <w:rPr>
          <w:rFonts w:ascii="Times New Roman" w:eastAsia="Calibri" w:hAnsi="Times New Roman" w:cs="Times New Roman"/>
          <w:sz w:val="24"/>
          <w:szCs w:val="24"/>
          <w:lang w:val="en-US"/>
        </w:rPr>
        <w:t>IT infrastructure</w:t>
      </w:r>
      <w:r w:rsidRPr="005A255B">
        <w:rPr>
          <w:rFonts w:ascii="Times New Roman" w:eastAsia="Calibri" w:hAnsi="Times New Roman" w:cs="Times New Roman"/>
          <w:sz w:val="24"/>
          <w:szCs w:val="24"/>
          <w:lang w:val="en-US"/>
        </w:rPr>
        <w:t xml:space="preserve"> realization </w:t>
      </w:r>
      <w:r w:rsidR="0019248E">
        <w:rPr>
          <w:rFonts w:ascii="Times New Roman" w:eastAsia="Calibri" w:hAnsi="Times New Roman" w:cs="Times New Roman"/>
          <w:sz w:val="24"/>
          <w:szCs w:val="24"/>
          <w:lang w:val="en-US"/>
        </w:rPr>
        <w:t xml:space="preserve">on a </w:t>
      </w:r>
      <w:r w:rsidRPr="005A255B">
        <w:rPr>
          <w:rFonts w:ascii="Times New Roman" w:eastAsia="Calibri" w:hAnsi="Times New Roman" w:cs="Times New Roman"/>
          <w:sz w:val="24"/>
          <w:szCs w:val="24"/>
          <w:lang w:val="en-US"/>
        </w:rPr>
        <w:t>new market of the Moscow Exchange</w:t>
      </w:r>
      <w:r>
        <w:rPr>
          <w:rFonts w:ascii="Times New Roman" w:eastAsia="Calibri" w:hAnsi="Times New Roman" w:cs="Times New Roman"/>
          <w:sz w:val="24"/>
          <w:szCs w:val="24"/>
          <w:lang w:val="en-US"/>
        </w:rPr>
        <w:t xml:space="preserve"> -</w:t>
      </w:r>
      <w:r w:rsidRPr="005A255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w:t>
      </w:r>
      <w:hyperlink r:id="rId30" w:tooltip="Standardised OTC derivatives market" w:history="1">
        <w:r w:rsidRPr="006A301B">
          <w:rPr>
            <w:rFonts w:ascii="Times New Roman" w:eastAsia="Calibri" w:hAnsi="Times New Roman" w:cs="Times New Roman"/>
            <w:sz w:val="24"/>
            <w:szCs w:val="24"/>
            <w:lang w:val="en-US"/>
          </w:rPr>
          <w:t>tandardi</w:t>
        </w:r>
        <w:r>
          <w:rPr>
            <w:rFonts w:ascii="Times New Roman" w:eastAsia="Calibri" w:hAnsi="Times New Roman" w:cs="Times New Roman"/>
            <w:sz w:val="24"/>
            <w:szCs w:val="24"/>
            <w:lang w:val="en-US"/>
          </w:rPr>
          <w:t>z</w:t>
        </w:r>
        <w:r w:rsidRPr="006A301B">
          <w:rPr>
            <w:rFonts w:ascii="Times New Roman" w:eastAsia="Calibri" w:hAnsi="Times New Roman" w:cs="Times New Roman"/>
            <w:sz w:val="24"/>
            <w:szCs w:val="24"/>
            <w:lang w:val="en-US"/>
          </w:rPr>
          <w:t xml:space="preserve">ed </w:t>
        </w:r>
        <w:r>
          <w:rPr>
            <w:rFonts w:ascii="Times New Roman" w:eastAsia="Calibri" w:hAnsi="Times New Roman" w:cs="Times New Roman"/>
            <w:sz w:val="24"/>
            <w:szCs w:val="24"/>
            <w:lang w:val="en-US"/>
          </w:rPr>
          <w:t>DI</w:t>
        </w:r>
        <w:r w:rsidRPr="006A301B">
          <w:rPr>
            <w:rFonts w:ascii="Times New Roman" w:eastAsia="Calibri" w:hAnsi="Times New Roman" w:cs="Times New Roman"/>
            <w:sz w:val="24"/>
            <w:szCs w:val="24"/>
            <w:lang w:val="en-US"/>
          </w:rPr>
          <w:t xml:space="preserve"> market</w:t>
        </w:r>
      </w:hyperlink>
      <w:r>
        <w:rPr>
          <w:rFonts w:ascii="Times New Roman" w:eastAsia="Calibri" w:hAnsi="Times New Roman" w:cs="Times New Roman"/>
          <w:sz w:val="24"/>
          <w:szCs w:val="24"/>
          <w:lang w:val="en-US"/>
        </w:rPr>
        <w:t>.</w:t>
      </w:r>
    </w:p>
    <w:p w:rsidR="00D55472" w:rsidRPr="005A255B" w:rsidRDefault="00D55472" w:rsidP="00472CA4">
      <w:pPr>
        <w:numPr>
          <w:ilvl w:val="0"/>
          <w:numId w:val="39"/>
        </w:numPr>
        <w:autoSpaceDN w:val="0"/>
        <w:spacing w:after="120" w:line="240" w:lineRule="auto"/>
        <w:ind w:left="1276" w:hanging="425"/>
        <w:jc w:val="both"/>
        <w:rPr>
          <w:rFonts w:ascii="Times New Roman" w:eastAsia="Calibri" w:hAnsi="Times New Roman" w:cs="Times New Roman"/>
          <w:sz w:val="24"/>
          <w:szCs w:val="24"/>
          <w:lang w:val="en-US"/>
        </w:rPr>
      </w:pPr>
      <w:r w:rsidRPr="005A255B">
        <w:rPr>
          <w:rFonts w:ascii="Times New Roman" w:eastAsia="Calibri" w:hAnsi="Times New Roman" w:cs="Times New Roman"/>
          <w:sz w:val="24"/>
          <w:szCs w:val="24"/>
          <w:lang w:val="en-US"/>
        </w:rPr>
        <w:t xml:space="preserve">Automation of accounting </w:t>
      </w:r>
      <w:r w:rsidR="0019248E">
        <w:rPr>
          <w:rFonts w:ascii="Times New Roman" w:eastAsia="Calibri" w:hAnsi="Times New Roman" w:cs="Times New Roman"/>
          <w:sz w:val="24"/>
          <w:szCs w:val="24"/>
          <w:lang w:val="en-US"/>
        </w:rPr>
        <w:t xml:space="preserve">of </w:t>
      </w:r>
      <w:r w:rsidRPr="005A255B">
        <w:rPr>
          <w:rFonts w:ascii="Times New Roman" w:eastAsia="Calibri" w:hAnsi="Times New Roman" w:cs="Times New Roman"/>
          <w:sz w:val="24"/>
          <w:szCs w:val="24"/>
          <w:lang w:val="en-US"/>
        </w:rPr>
        <w:t xml:space="preserve">CCP trades and settlements on </w:t>
      </w:r>
      <w:r w:rsidR="0019248E">
        <w:rPr>
          <w:rFonts w:ascii="Times New Roman" w:eastAsia="Calibri" w:hAnsi="Times New Roman" w:cs="Times New Roman"/>
          <w:sz w:val="24"/>
          <w:szCs w:val="24"/>
          <w:lang w:val="en-US"/>
        </w:rPr>
        <w:t>a</w:t>
      </w:r>
      <w:r w:rsidRPr="005A255B">
        <w:rPr>
          <w:rFonts w:ascii="Times New Roman" w:eastAsia="Calibri" w:hAnsi="Times New Roman" w:cs="Times New Roman"/>
          <w:sz w:val="24"/>
          <w:szCs w:val="24"/>
          <w:lang w:val="en-US"/>
        </w:rPr>
        <w:t xml:space="preserve"> new market of the Moscow Exchange - R</w:t>
      </w:r>
      <w:r w:rsidR="0019248E">
        <w:rPr>
          <w:rFonts w:ascii="Times New Roman" w:eastAsia="Calibri" w:hAnsi="Times New Roman" w:cs="Times New Roman"/>
          <w:sz w:val="24"/>
          <w:szCs w:val="24"/>
          <w:lang w:val="en-US"/>
        </w:rPr>
        <w:t>EPO</w:t>
      </w:r>
      <w:r w:rsidRPr="005A255B">
        <w:rPr>
          <w:rFonts w:ascii="Times New Roman" w:eastAsia="Calibri" w:hAnsi="Times New Roman" w:cs="Times New Roman"/>
          <w:sz w:val="24"/>
          <w:szCs w:val="24"/>
          <w:lang w:val="en-US"/>
        </w:rPr>
        <w:t xml:space="preserve"> with CC</w:t>
      </w:r>
      <w:r>
        <w:rPr>
          <w:rFonts w:ascii="Times New Roman" w:eastAsia="Calibri" w:hAnsi="Times New Roman" w:cs="Times New Roman"/>
          <w:sz w:val="24"/>
          <w:szCs w:val="24"/>
          <w:lang w:val="en-US"/>
        </w:rPr>
        <w:t>P</w:t>
      </w:r>
      <w:r w:rsidR="0019248E">
        <w:rPr>
          <w:rFonts w:ascii="Times New Roman" w:eastAsia="Calibri" w:hAnsi="Times New Roman" w:cs="Times New Roman"/>
          <w:sz w:val="24"/>
          <w:szCs w:val="24"/>
          <w:lang w:val="en-US"/>
        </w:rPr>
        <w:t>.</w:t>
      </w:r>
    </w:p>
    <w:p w:rsidR="00D55472" w:rsidRPr="005A255B" w:rsidRDefault="00D55472" w:rsidP="00472CA4">
      <w:pPr>
        <w:numPr>
          <w:ilvl w:val="0"/>
          <w:numId w:val="39"/>
        </w:numPr>
        <w:autoSpaceDN w:val="0"/>
        <w:spacing w:after="120" w:line="240" w:lineRule="auto"/>
        <w:ind w:left="1276" w:hanging="425"/>
        <w:jc w:val="both"/>
        <w:rPr>
          <w:rFonts w:ascii="Times New Roman" w:eastAsia="Calibri" w:hAnsi="Times New Roman" w:cs="Times New Roman"/>
          <w:sz w:val="24"/>
          <w:szCs w:val="24"/>
          <w:lang w:val="en-US"/>
        </w:rPr>
      </w:pPr>
      <w:r w:rsidRPr="005A255B">
        <w:rPr>
          <w:rFonts w:ascii="Times New Roman" w:eastAsia="Calibri" w:hAnsi="Times New Roman" w:cs="Times New Roman"/>
          <w:sz w:val="24"/>
          <w:szCs w:val="24"/>
          <w:lang w:val="en-US"/>
        </w:rPr>
        <w:t xml:space="preserve">Automation of reports to the </w:t>
      </w:r>
      <w:r>
        <w:rPr>
          <w:rFonts w:ascii="Times New Roman" w:eastAsia="Calibri" w:hAnsi="Times New Roman" w:cs="Times New Roman"/>
          <w:sz w:val="24"/>
          <w:szCs w:val="24"/>
          <w:lang w:val="en-US"/>
        </w:rPr>
        <w:t>R</w:t>
      </w:r>
      <w:r w:rsidRPr="005A255B">
        <w:rPr>
          <w:rFonts w:ascii="Times New Roman" w:eastAsia="Calibri" w:hAnsi="Times New Roman" w:cs="Times New Roman"/>
          <w:sz w:val="24"/>
          <w:szCs w:val="24"/>
          <w:lang w:val="en-US"/>
        </w:rPr>
        <w:t>epository.</w:t>
      </w:r>
    </w:p>
    <w:p w:rsidR="00D55472" w:rsidRPr="005A255B" w:rsidRDefault="00D55472" w:rsidP="00D55472">
      <w:pPr>
        <w:autoSpaceDN w:val="0"/>
        <w:spacing w:after="120" w:line="240" w:lineRule="auto"/>
        <w:ind w:firstLine="567"/>
        <w:jc w:val="both"/>
        <w:rPr>
          <w:rFonts w:ascii="Times New Roman" w:eastAsia="Calibri" w:hAnsi="Times New Roman" w:cs="Times New Roman"/>
          <w:sz w:val="24"/>
          <w:szCs w:val="24"/>
          <w:lang w:val="en-US"/>
        </w:rPr>
      </w:pPr>
      <w:r w:rsidRPr="005A255B">
        <w:rPr>
          <w:rFonts w:ascii="Times New Roman" w:eastAsia="Calibri" w:hAnsi="Times New Roman" w:cs="Times New Roman"/>
          <w:sz w:val="24"/>
          <w:szCs w:val="24"/>
          <w:lang w:val="en-US"/>
        </w:rPr>
        <w:t xml:space="preserve">Each of the projects required significant changes/additions to the existing </w:t>
      </w:r>
      <w:r w:rsidRPr="00290701">
        <w:rPr>
          <w:rFonts w:ascii="Times New Roman" w:eastAsia="Calibri" w:hAnsi="Times New Roman" w:cs="Times New Roman"/>
          <w:sz w:val="24"/>
          <w:szCs w:val="24"/>
          <w:lang w:val="en-US"/>
        </w:rPr>
        <w:t>IT infrastructure</w:t>
      </w:r>
      <w:r w:rsidRPr="005A255B">
        <w:rPr>
          <w:rFonts w:ascii="Times New Roman" w:eastAsia="Calibri" w:hAnsi="Times New Roman" w:cs="Times New Roman"/>
          <w:sz w:val="24"/>
          <w:szCs w:val="24"/>
          <w:lang w:val="en-US"/>
        </w:rPr>
        <w:t>. Thus, under the Precious</w:t>
      </w:r>
      <w:r>
        <w:rPr>
          <w:rFonts w:ascii="Times New Roman" w:eastAsia="Calibri" w:hAnsi="Times New Roman" w:cs="Times New Roman"/>
          <w:sz w:val="24"/>
          <w:szCs w:val="24"/>
          <w:lang w:val="en-US"/>
        </w:rPr>
        <w:t xml:space="preserve"> </w:t>
      </w:r>
      <w:r w:rsidRPr="005A255B">
        <w:rPr>
          <w:rFonts w:ascii="Times New Roman" w:eastAsia="Calibri" w:hAnsi="Times New Roman" w:cs="Times New Roman"/>
          <w:sz w:val="24"/>
          <w:szCs w:val="24"/>
          <w:lang w:val="en-US"/>
        </w:rPr>
        <w:t xml:space="preserve">Metals Market project, </w:t>
      </w:r>
      <w:r w:rsidRPr="00FB35AA">
        <w:rPr>
          <w:rFonts w:ascii="Times New Roman" w:eastAsia="Calibri" w:hAnsi="Times New Roman" w:cs="Times New Roman"/>
          <w:sz w:val="24"/>
          <w:szCs w:val="24"/>
          <w:lang w:val="en-US"/>
        </w:rPr>
        <w:t>reciprocity</w:t>
      </w:r>
      <w:r w:rsidRPr="00FB35AA" w:rsidDel="00FB35AA">
        <w:rPr>
          <w:rFonts w:ascii="Times New Roman" w:eastAsia="Calibri" w:hAnsi="Times New Roman" w:cs="Times New Roman"/>
          <w:sz w:val="24"/>
          <w:szCs w:val="24"/>
          <w:lang w:val="en-US"/>
        </w:rPr>
        <w:t xml:space="preserve"> </w:t>
      </w:r>
      <w:r w:rsidRPr="005A255B">
        <w:rPr>
          <w:rFonts w:ascii="Times New Roman" w:eastAsia="Calibri" w:hAnsi="Times New Roman" w:cs="Times New Roman"/>
          <w:sz w:val="24"/>
          <w:szCs w:val="24"/>
          <w:lang w:val="en-US"/>
        </w:rPr>
        <w:t>between the servicing bank and the precious</w:t>
      </w:r>
      <w:r>
        <w:rPr>
          <w:rFonts w:ascii="Times New Roman" w:eastAsia="Calibri" w:hAnsi="Times New Roman" w:cs="Times New Roman"/>
          <w:sz w:val="24"/>
          <w:szCs w:val="24"/>
          <w:lang w:val="en-US"/>
        </w:rPr>
        <w:t xml:space="preserve"> </w:t>
      </w:r>
      <w:r w:rsidRPr="005A255B">
        <w:rPr>
          <w:rFonts w:ascii="Times New Roman" w:eastAsia="Calibri" w:hAnsi="Times New Roman" w:cs="Times New Roman"/>
          <w:sz w:val="24"/>
          <w:szCs w:val="24"/>
          <w:lang w:val="en-US"/>
        </w:rPr>
        <w:t xml:space="preserve">metals clients (SWIFT 6XX) was fully automated. This project was unique in the automation process trades in </w:t>
      </w:r>
      <w:r>
        <w:rPr>
          <w:rFonts w:ascii="Times New Roman" w:eastAsia="Calibri" w:hAnsi="Times New Roman" w:cs="Times New Roman"/>
          <w:sz w:val="24"/>
          <w:szCs w:val="24"/>
          <w:lang w:val="en-US"/>
        </w:rPr>
        <w:t xml:space="preserve">precious </w:t>
      </w:r>
      <w:r w:rsidRPr="005A255B">
        <w:rPr>
          <w:rFonts w:ascii="Times New Roman" w:eastAsia="Calibri" w:hAnsi="Times New Roman" w:cs="Times New Roman"/>
          <w:sz w:val="24"/>
          <w:szCs w:val="24"/>
          <w:lang w:val="en-US"/>
        </w:rPr>
        <w:t>metals.</w:t>
      </w:r>
    </w:p>
    <w:p w:rsidR="00D55472" w:rsidRPr="005A255B" w:rsidRDefault="0059676C" w:rsidP="00D55472">
      <w:pPr>
        <w:autoSpaceDN w:val="0"/>
        <w:spacing w:after="120" w:line="240" w:lineRule="auto"/>
        <w:ind w:firstLine="567"/>
        <w:jc w:val="both"/>
        <w:rPr>
          <w:rFonts w:ascii="Times New Roman" w:eastAsia="Calibri" w:hAnsi="Times New Roman" w:cs="Times New Roman"/>
          <w:sz w:val="24"/>
          <w:szCs w:val="24"/>
          <w:lang w:val="en-US"/>
        </w:rPr>
      </w:pPr>
      <w:hyperlink r:id="rId31" w:tooltip="Standardised OTC derivatives market" w:history="1">
        <w:r w:rsidR="00D55472" w:rsidRPr="00290701">
          <w:rPr>
            <w:rFonts w:ascii="Times New Roman" w:eastAsia="Calibri" w:hAnsi="Times New Roman" w:cs="Times New Roman"/>
            <w:sz w:val="24"/>
            <w:szCs w:val="24"/>
            <w:lang w:val="en-US"/>
          </w:rPr>
          <w:t>Standardi</w:t>
        </w:r>
        <w:r w:rsidR="00D55472">
          <w:rPr>
            <w:rFonts w:ascii="Times New Roman" w:eastAsia="Calibri" w:hAnsi="Times New Roman" w:cs="Times New Roman"/>
            <w:sz w:val="24"/>
            <w:szCs w:val="24"/>
            <w:lang w:val="en-US"/>
          </w:rPr>
          <w:t>z</w:t>
        </w:r>
        <w:r w:rsidR="00D55472" w:rsidRPr="00290701">
          <w:rPr>
            <w:rFonts w:ascii="Times New Roman" w:eastAsia="Calibri" w:hAnsi="Times New Roman" w:cs="Times New Roman"/>
            <w:sz w:val="24"/>
            <w:szCs w:val="24"/>
            <w:lang w:val="en-US"/>
          </w:rPr>
          <w:t xml:space="preserve">ed </w:t>
        </w:r>
        <w:r w:rsidR="00D55472" w:rsidRPr="00976A22">
          <w:rPr>
            <w:rFonts w:ascii="Times New Roman" w:eastAsia="Calibri" w:hAnsi="Times New Roman" w:cs="Times New Roman"/>
            <w:sz w:val="24"/>
            <w:szCs w:val="24"/>
            <w:lang w:val="en-US"/>
          </w:rPr>
          <w:t>DI</w:t>
        </w:r>
        <w:r w:rsidR="00D55472" w:rsidRPr="00290701">
          <w:rPr>
            <w:rFonts w:ascii="Times New Roman" w:eastAsia="Calibri" w:hAnsi="Times New Roman" w:cs="Times New Roman"/>
            <w:sz w:val="24"/>
            <w:szCs w:val="24"/>
            <w:lang w:val="en-US"/>
          </w:rPr>
          <w:t xml:space="preserve"> market</w:t>
        </w:r>
      </w:hyperlink>
      <w:r w:rsidR="00D55472">
        <w:rPr>
          <w:rFonts w:ascii="Times New Roman" w:eastAsia="Calibri" w:hAnsi="Times New Roman" w:cs="Times New Roman"/>
          <w:sz w:val="24"/>
          <w:szCs w:val="24"/>
          <w:lang w:val="en-US"/>
        </w:rPr>
        <w:t xml:space="preserve"> </w:t>
      </w:r>
      <w:r w:rsidR="00D55472" w:rsidRPr="005A255B">
        <w:rPr>
          <w:rFonts w:ascii="Times New Roman" w:eastAsia="Calibri" w:hAnsi="Times New Roman" w:cs="Times New Roman"/>
          <w:sz w:val="24"/>
          <w:szCs w:val="24"/>
          <w:lang w:val="en-US"/>
        </w:rPr>
        <w:t xml:space="preserve">is the only one of Moscow Exchange markets, using new technology: the trades from trading-clearing systems </w:t>
      </w:r>
      <w:r w:rsidR="00D55472">
        <w:rPr>
          <w:rFonts w:ascii="Times New Roman" w:eastAsia="Calibri" w:hAnsi="Times New Roman" w:cs="Times New Roman"/>
          <w:sz w:val="24"/>
          <w:szCs w:val="24"/>
          <w:lang w:val="en-US"/>
        </w:rPr>
        <w:t>get</w:t>
      </w:r>
      <w:r w:rsidR="00D55472" w:rsidRPr="005A255B">
        <w:rPr>
          <w:rFonts w:ascii="Times New Roman" w:eastAsia="Calibri" w:hAnsi="Times New Roman" w:cs="Times New Roman"/>
          <w:sz w:val="24"/>
          <w:szCs w:val="24"/>
          <w:lang w:val="en-US"/>
        </w:rPr>
        <w:t xml:space="preserve"> immediately to </w:t>
      </w:r>
      <w:r w:rsidR="00D55472">
        <w:rPr>
          <w:rFonts w:ascii="Times New Roman" w:eastAsia="Calibri" w:hAnsi="Times New Roman" w:cs="Times New Roman"/>
          <w:sz w:val="24"/>
          <w:szCs w:val="24"/>
          <w:lang w:val="en-US"/>
        </w:rPr>
        <w:t xml:space="preserve">the </w:t>
      </w:r>
      <w:r w:rsidR="00D55472" w:rsidRPr="00290701">
        <w:rPr>
          <w:rFonts w:ascii="Times New Roman" w:eastAsia="Calibri" w:hAnsi="Times New Roman" w:cs="Times New Roman"/>
          <w:sz w:val="24"/>
          <w:szCs w:val="24"/>
          <w:lang w:val="en-US"/>
        </w:rPr>
        <w:t>core banking system - IBS "Centaurus Omega"</w:t>
      </w:r>
      <w:r w:rsidR="00D55472" w:rsidRPr="005A255B">
        <w:rPr>
          <w:rFonts w:ascii="Times New Roman" w:eastAsia="Calibri" w:hAnsi="Times New Roman" w:cs="Times New Roman"/>
          <w:sz w:val="24"/>
          <w:szCs w:val="24"/>
          <w:lang w:val="en-US"/>
        </w:rPr>
        <w:t>, which accounting and settlements</w:t>
      </w:r>
      <w:r w:rsidR="00D55472">
        <w:rPr>
          <w:rFonts w:ascii="Times New Roman" w:eastAsia="Calibri" w:hAnsi="Times New Roman" w:cs="Times New Roman"/>
          <w:sz w:val="24"/>
          <w:szCs w:val="24"/>
          <w:lang w:val="en-US"/>
        </w:rPr>
        <w:t xml:space="preserve"> are </w:t>
      </w:r>
      <w:r w:rsidR="00D55472" w:rsidRPr="00953626">
        <w:rPr>
          <w:rFonts w:ascii="Times New Roman" w:eastAsia="Calibri" w:hAnsi="Times New Roman" w:cs="Times New Roman"/>
          <w:sz w:val="24"/>
          <w:szCs w:val="24"/>
          <w:lang w:val="en-US"/>
        </w:rPr>
        <w:t>executed</w:t>
      </w:r>
      <w:r w:rsidR="00D55472" w:rsidRPr="005A255B">
        <w:rPr>
          <w:rFonts w:ascii="Times New Roman" w:eastAsia="Calibri" w:hAnsi="Times New Roman" w:cs="Times New Roman"/>
          <w:sz w:val="24"/>
          <w:szCs w:val="24"/>
          <w:lang w:val="en-US"/>
        </w:rPr>
        <w:t xml:space="preserve">. </w:t>
      </w:r>
      <w:r w:rsidR="00D55472">
        <w:rPr>
          <w:rFonts w:ascii="Times New Roman" w:eastAsia="Calibri" w:hAnsi="Times New Roman" w:cs="Times New Roman"/>
          <w:sz w:val="24"/>
          <w:szCs w:val="24"/>
          <w:lang w:val="en-US"/>
        </w:rPr>
        <w:t>T</w:t>
      </w:r>
      <w:r w:rsidR="00D55472" w:rsidRPr="005A255B">
        <w:rPr>
          <w:rFonts w:ascii="Times New Roman" w:eastAsia="Calibri" w:hAnsi="Times New Roman" w:cs="Times New Roman"/>
          <w:sz w:val="24"/>
          <w:szCs w:val="24"/>
          <w:lang w:val="en-US"/>
        </w:rPr>
        <w:t xml:space="preserve">he data processing technology </w:t>
      </w:r>
      <w:r w:rsidR="00D55472">
        <w:rPr>
          <w:rFonts w:ascii="Times New Roman" w:eastAsia="Calibri" w:hAnsi="Times New Roman" w:cs="Times New Roman"/>
          <w:sz w:val="24"/>
          <w:szCs w:val="24"/>
          <w:lang w:val="en-US"/>
        </w:rPr>
        <w:t>used i</w:t>
      </w:r>
      <w:r w:rsidR="00D55472" w:rsidRPr="005A255B">
        <w:rPr>
          <w:rFonts w:ascii="Times New Roman" w:eastAsia="Calibri" w:hAnsi="Times New Roman" w:cs="Times New Roman"/>
          <w:sz w:val="24"/>
          <w:szCs w:val="24"/>
          <w:lang w:val="en-US"/>
        </w:rPr>
        <w:t xml:space="preserve">n this segment </w:t>
      </w:r>
      <w:r w:rsidR="00D55472">
        <w:rPr>
          <w:rFonts w:ascii="Times New Roman" w:eastAsia="Calibri" w:hAnsi="Times New Roman" w:cs="Times New Roman"/>
          <w:sz w:val="24"/>
          <w:szCs w:val="24"/>
          <w:lang w:val="en-US"/>
        </w:rPr>
        <w:t xml:space="preserve">of the </w:t>
      </w:r>
      <w:r w:rsidR="00D55472" w:rsidRPr="005A255B">
        <w:rPr>
          <w:rFonts w:ascii="Times New Roman" w:eastAsia="Calibri" w:hAnsi="Times New Roman" w:cs="Times New Roman"/>
          <w:sz w:val="24"/>
          <w:szCs w:val="24"/>
          <w:lang w:val="en-US"/>
        </w:rPr>
        <w:t xml:space="preserve">market </w:t>
      </w:r>
      <w:r w:rsidR="00D55472">
        <w:rPr>
          <w:rFonts w:ascii="Times New Roman" w:eastAsia="Calibri" w:hAnsi="Times New Roman" w:cs="Times New Roman"/>
          <w:sz w:val="24"/>
          <w:szCs w:val="24"/>
          <w:lang w:val="en-US"/>
        </w:rPr>
        <w:t>is</w:t>
      </w:r>
      <w:r w:rsidR="00D55472" w:rsidRPr="005A255B">
        <w:rPr>
          <w:rFonts w:ascii="Times New Roman" w:eastAsia="Calibri" w:hAnsi="Times New Roman" w:cs="Times New Roman"/>
          <w:sz w:val="24"/>
          <w:szCs w:val="24"/>
          <w:lang w:val="en-US"/>
        </w:rPr>
        <w:t xml:space="preserve"> differ</w:t>
      </w:r>
      <w:r w:rsidR="00D55472">
        <w:rPr>
          <w:rFonts w:ascii="Times New Roman" w:eastAsia="Calibri" w:hAnsi="Times New Roman" w:cs="Times New Roman"/>
          <w:sz w:val="24"/>
          <w:szCs w:val="24"/>
          <w:lang w:val="en-US"/>
        </w:rPr>
        <w:t>ent</w:t>
      </w:r>
      <w:r w:rsidR="00D55472" w:rsidRPr="005A255B">
        <w:rPr>
          <w:rFonts w:ascii="Times New Roman" w:eastAsia="Calibri" w:hAnsi="Times New Roman" w:cs="Times New Roman"/>
          <w:sz w:val="24"/>
          <w:szCs w:val="24"/>
          <w:lang w:val="en-US"/>
        </w:rPr>
        <w:t xml:space="preserve"> from </w:t>
      </w:r>
      <w:r w:rsidR="00D55472">
        <w:rPr>
          <w:rFonts w:ascii="Times New Roman" w:eastAsia="Calibri" w:hAnsi="Times New Roman" w:cs="Times New Roman"/>
          <w:sz w:val="24"/>
          <w:szCs w:val="24"/>
          <w:lang w:val="en-US"/>
        </w:rPr>
        <w:t>the ones used in other</w:t>
      </w:r>
      <w:r w:rsidR="00D55472" w:rsidRPr="005A255B">
        <w:rPr>
          <w:rFonts w:ascii="Times New Roman" w:eastAsia="Calibri" w:hAnsi="Times New Roman" w:cs="Times New Roman"/>
          <w:sz w:val="24"/>
          <w:szCs w:val="24"/>
          <w:lang w:val="en-US"/>
        </w:rPr>
        <w:t xml:space="preserve"> market segments, </w:t>
      </w:r>
      <w:r w:rsidR="00D55472">
        <w:rPr>
          <w:rFonts w:ascii="Times New Roman" w:eastAsia="Calibri" w:hAnsi="Times New Roman" w:cs="Times New Roman"/>
          <w:sz w:val="24"/>
          <w:szCs w:val="24"/>
          <w:lang w:val="en-US"/>
        </w:rPr>
        <w:t>because it does not require</w:t>
      </w:r>
      <w:r w:rsidR="00D55472" w:rsidRPr="005A255B">
        <w:rPr>
          <w:rFonts w:ascii="Times New Roman" w:eastAsia="Calibri" w:hAnsi="Times New Roman" w:cs="Times New Roman"/>
          <w:sz w:val="24"/>
          <w:szCs w:val="24"/>
          <w:lang w:val="en-US"/>
        </w:rPr>
        <w:t xml:space="preserve"> </w:t>
      </w:r>
      <w:r w:rsidR="00D55472">
        <w:rPr>
          <w:rFonts w:ascii="Times New Roman" w:eastAsia="Calibri" w:hAnsi="Times New Roman" w:cs="Times New Roman"/>
          <w:sz w:val="24"/>
          <w:szCs w:val="24"/>
          <w:lang w:val="en-US"/>
        </w:rPr>
        <w:t>using</w:t>
      </w:r>
      <w:r w:rsidR="00D55472" w:rsidRPr="005A255B">
        <w:rPr>
          <w:rFonts w:ascii="Times New Roman" w:eastAsia="Calibri" w:hAnsi="Times New Roman" w:cs="Times New Roman"/>
          <w:sz w:val="24"/>
          <w:szCs w:val="24"/>
          <w:lang w:val="en-US"/>
        </w:rPr>
        <w:t xml:space="preserve"> a pre-aggregation in a dedicated system. </w:t>
      </w:r>
      <w:r w:rsidR="00D55472">
        <w:rPr>
          <w:rFonts w:ascii="Times New Roman" w:eastAsia="Calibri" w:hAnsi="Times New Roman" w:cs="Times New Roman"/>
          <w:sz w:val="24"/>
          <w:szCs w:val="24"/>
          <w:lang w:val="en-US"/>
        </w:rPr>
        <w:t>E</w:t>
      </w:r>
      <w:r w:rsidR="00D55472" w:rsidRPr="005A255B">
        <w:rPr>
          <w:rFonts w:ascii="Times New Roman" w:eastAsia="Calibri" w:hAnsi="Times New Roman" w:cs="Times New Roman"/>
          <w:sz w:val="24"/>
          <w:szCs w:val="24"/>
          <w:lang w:val="en-US"/>
        </w:rPr>
        <w:t xml:space="preserve">cosystem of </w:t>
      </w:r>
      <w:proofErr w:type="spellStart"/>
      <w:r w:rsidR="00D55472" w:rsidRPr="005A255B">
        <w:rPr>
          <w:rFonts w:ascii="Times New Roman" w:eastAsia="Calibri" w:hAnsi="Times New Roman" w:cs="Times New Roman"/>
          <w:sz w:val="24"/>
          <w:szCs w:val="24"/>
          <w:lang w:val="en-US"/>
        </w:rPr>
        <w:t>Softwell</w:t>
      </w:r>
      <w:proofErr w:type="spellEnd"/>
      <w:r w:rsidR="00D55472" w:rsidRPr="005A255B">
        <w:rPr>
          <w:rFonts w:ascii="Times New Roman" w:eastAsia="Calibri" w:hAnsi="Times New Roman" w:cs="Times New Roman"/>
          <w:sz w:val="24"/>
          <w:szCs w:val="24"/>
          <w:lang w:val="en-US"/>
        </w:rPr>
        <w:t xml:space="preserve"> NAVIGATOR was selected </w:t>
      </w:r>
      <w:r w:rsidR="00D55472">
        <w:rPr>
          <w:rFonts w:ascii="Times New Roman" w:eastAsia="Calibri" w:hAnsi="Times New Roman" w:cs="Times New Roman"/>
          <w:sz w:val="24"/>
          <w:szCs w:val="24"/>
          <w:lang w:val="en-US"/>
        </w:rPr>
        <w:t>a</w:t>
      </w:r>
      <w:r w:rsidR="00D55472" w:rsidRPr="005A255B">
        <w:rPr>
          <w:rFonts w:ascii="Times New Roman" w:eastAsia="Calibri" w:hAnsi="Times New Roman" w:cs="Times New Roman"/>
          <w:sz w:val="24"/>
          <w:szCs w:val="24"/>
          <w:lang w:val="en-US"/>
        </w:rPr>
        <w:t xml:space="preserve">s a technology platform for the </w:t>
      </w:r>
      <w:hyperlink r:id="rId32" w:tooltip="Standardised OTC derivatives market" w:history="1">
        <w:r w:rsidR="00D55472" w:rsidRPr="00B44D16">
          <w:rPr>
            <w:rFonts w:ascii="Times New Roman" w:eastAsia="Calibri" w:hAnsi="Times New Roman" w:cs="Times New Roman"/>
            <w:sz w:val="24"/>
            <w:szCs w:val="24"/>
            <w:lang w:val="en-US"/>
          </w:rPr>
          <w:t>Standardi</w:t>
        </w:r>
        <w:r w:rsidR="00D55472">
          <w:rPr>
            <w:rFonts w:ascii="Times New Roman" w:eastAsia="Calibri" w:hAnsi="Times New Roman" w:cs="Times New Roman"/>
            <w:sz w:val="24"/>
            <w:szCs w:val="24"/>
            <w:lang w:val="en-US"/>
          </w:rPr>
          <w:t>z</w:t>
        </w:r>
        <w:r w:rsidR="00D55472" w:rsidRPr="00B44D16">
          <w:rPr>
            <w:rFonts w:ascii="Times New Roman" w:eastAsia="Calibri" w:hAnsi="Times New Roman" w:cs="Times New Roman"/>
            <w:sz w:val="24"/>
            <w:szCs w:val="24"/>
            <w:lang w:val="en-US"/>
          </w:rPr>
          <w:t xml:space="preserve">ed </w:t>
        </w:r>
        <w:r w:rsidR="00D55472">
          <w:rPr>
            <w:rFonts w:ascii="Times New Roman" w:eastAsia="Calibri" w:hAnsi="Times New Roman" w:cs="Times New Roman"/>
            <w:sz w:val="24"/>
            <w:szCs w:val="24"/>
            <w:lang w:val="en-US"/>
          </w:rPr>
          <w:t xml:space="preserve">DI </w:t>
        </w:r>
        <w:r w:rsidR="00D55472" w:rsidRPr="00B44D16">
          <w:rPr>
            <w:rFonts w:ascii="Times New Roman" w:eastAsia="Calibri" w:hAnsi="Times New Roman" w:cs="Times New Roman"/>
            <w:sz w:val="24"/>
            <w:szCs w:val="24"/>
            <w:lang w:val="en-US"/>
          </w:rPr>
          <w:t>market</w:t>
        </w:r>
      </w:hyperlink>
      <w:r w:rsidR="00D55472" w:rsidRPr="005A255B">
        <w:rPr>
          <w:rFonts w:ascii="Times New Roman" w:eastAsia="Calibri" w:hAnsi="Times New Roman" w:cs="Times New Roman"/>
          <w:sz w:val="24"/>
          <w:szCs w:val="24"/>
          <w:lang w:val="en-US"/>
        </w:rPr>
        <w:t xml:space="preserve">, produced by company </w:t>
      </w:r>
      <w:proofErr w:type="spellStart"/>
      <w:r w:rsidR="00D55472" w:rsidRPr="005A255B">
        <w:rPr>
          <w:rFonts w:ascii="Times New Roman" w:eastAsia="Calibri" w:hAnsi="Times New Roman" w:cs="Times New Roman"/>
          <w:sz w:val="24"/>
          <w:szCs w:val="24"/>
          <w:lang w:val="en-US"/>
        </w:rPr>
        <w:t>Softwell</w:t>
      </w:r>
      <w:proofErr w:type="spellEnd"/>
      <w:r w:rsidR="00D55472" w:rsidRPr="005A255B">
        <w:rPr>
          <w:rFonts w:ascii="Times New Roman" w:eastAsia="Calibri" w:hAnsi="Times New Roman" w:cs="Times New Roman"/>
          <w:sz w:val="24"/>
          <w:szCs w:val="24"/>
          <w:lang w:val="en-US"/>
        </w:rPr>
        <w:t xml:space="preserve">, one of the leaders in the development of treasury systems in Russia and CIS countries. Technology platform of </w:t>
      </w:r>
      <w:hyperlink r:id="rId33" w:tooltip="Standardised OTC derivatives market" w:history="1">
        <w:r w:rsidR="00D55472" w:rsidRPr="00B44D16">
          <w:rPr>
            <w:rFonts w:ascii="Times New Roman" w:eastAsia="Calibri" w:hAnsi="Times New Roman" w:cs="Times New Roman"/>
            <w:sz w:val="24"/>
            <w:szCs w:val="24"/>
            <w:lang w:val="en-US"/>
          </w:rPr>
          <w:t xml:space="preserve"> </w:t>
        </w:r>
        <w:r w:rsidR="00F55433">
          <w:rPr>
            <w:rFonts w:ascii="Times New Roman" w:eastAsia="Calibri" w:hAnsi="Times New Roman" w:cs="Times New Roman"/>
            <w:sz w:val="24"/>
            <w:szCs w:val="24"/>
            <w:lang w:val="en-US"/>
          </w:rPr>
          <w:t>the s</w:t>
        </w:r>
        <w:hyperlink r:id="rId34" w:tooltip="Standardised OTC derivatives market" w:history="1">
          <w:r w:rsidR="00D55472" w:rsidRPr="00B44D16">
            <w:rPr>
              <w:rFonts w:ascii="Times New Roman" w:eastAsia="Calibri" w:hAnsi="Times New Roman" w:cs="Times New Roman"/>
              <w:sz w:val="24"/>
              <w:szCs w:val="24"/>
              <w:lang w:val="en-US"/>
            </w:rPr>
            <w:t>tandardi</w:t>
          </w:r>
          <w:r w:rsidR="00D55472">
            <w:rPr>
              <w:rFonts w:ascii="Times New Roman" w:eastAsia="Calibri" w:hAnsi="Times New Roman" w:cs="Times New Roman"/>
              <w:sz w:val="24"/>
              <w:szCs w:val="24"/>
              <w:lang w:val="en-US"/>
            </w:rPr>
            <w:t>z</w:t>
          </w:r>
          <w:r w:rsidR="00D55472" w:rsidRPr="00B44D16">
            <w:rPr>
              <w:rFonts w:ascii="Times New Roman" w:eastAsia="Calibri" w:hAnsi="Times New Roman" w:cs="Times New Roman"/>
              <w:sz w:val="24"/>
              <w:szCs w:val="24"/>
              <w:lang w:val="en-US"/>
            </w:rPr>
            <w:t xml:space="preserve">ed </w:t>
          </w:r>
          <w:r w:rsidR="00D55472">
            <w:rPr>
              <w:rFonts w:ascii="Times New Roman" w:eastAsia="Calibri" w:hAnsi="Times New Roman" w:cs="Times New Roman"/>
              <w:sz w:val="24"/>
              <w:szCs w:val="24"/>
              <w:lang w:val="en-US"/>
            </w:rPr>
            <w:t xml:space="preserve">DI </w:t>
          </w:r>
          <w:r w:rsidR="00D55472" w:rsidRPr="00B44D16">
            <w:rPr>
              <w:rFonts w:ascii="Times New Roman" w:eastAsia="Calibri" w:hAnsi="Times New Roman" w:cs="Times New Roman"/>
              <w:sz w:val="24"/>
              <w:szCs w:val="24"/>
              <w:lang w:val="en-US"/>
            </w:rPr>
            <w:t>market</w:t>
          </w:r>
        </w:hyperlink>
      </w:hyperlink>
      <w:r w:rsidR="00D55472">
        <w:rPr>
          <w:rFonts w:ascii="Times New Roman" w:eastAsia="Calibri" w:hAnsi="Times New Roman" w:cs="Times New Roman"/>
          <w:sz w:val="24"/>
          <w:szCs w:val="24"/>
          <w:lang w:val="en-US"/>
        </w:rPr>
        <w:t xml:space="preserve"> </w:t>
      </w:r>
      <w:r w:rsidR="00D55472" w:rsidRPr="005A255B">
        <w:rPr>
          <w:rFonts w:ascii="Times New Roman" w:eastAsia="Calibri" w:hAnsi="Times New Roman" w:cs="Times New Roman"/>
          <w:sz w:val="24"/>
          <w:szCs w:val="24"/>
          <w:lang w:val="en-US"/>
        </w:rPr>
        <w:t>includes primarily the front office of the Treasury - NAVIGATOR.</w:t>
      </w:r>
      <w:r w:rsidR="00D55472">
        <w:rPr>
          <w:rFonts w:ascii="Times New Roman" w:eastAsia="Calibri" w:hAnsi="Times New Roman" w:cs="Times New Roman"/>
          <w:sz w:val="24"/>
          <w:szCs w:val="24"/>
          <w:lang w:val="en-US"/>
        </w:rPr>
        <w:t xml:space="preserve"> </w:t>
      </w:r>
      <w:proofErr w:type="gramStart"/>
      <w:r w:rsidR="00D55472" w:rsidRPr="005A255B">
        <w:rPr>
          <w:rFonts w:ascii="Times New Roman" w:eastAsia="Calibri" w:hAnsi="Times New Roman" w:cs="Times New Roman"/>
          <w:sz w:val="24"/>
          <w:szCs w:val="24"/>
          <w:lang w:val="en-US"/>
        </w:rPr>
        <w:t>Front,</w:t>
      </w:r>
      <w:proofErr w:type="gramEnd"/>
      <w:r w:rsidR="00D55472" w:rsidRPr="005A255B">
        <w:rPr>
          <w:rFonts w:ascii="Times New Roman" w:eastAsia="Calibri" w:hAnsi="Times New Roman" w:cs="Times New Roman"/>
          <w:sz w:val="24"/>
          <w:szCs w:val="24"/>
          <w:lang w:val="en-US"/>
        </w:rPr>
        <w:t xml:space="preserve"> and the web interface of the terminal member - </w:t>
      </w:r>
      <w:proofErr w:type="spellStart"/>
      <w:r w:rsidR="00D55472" w:rsidRPr="005A255B">
        <w:rPr>
          <w:rFonts w:ascii="Times New Roman" w:eastAsia="Calibri" w:hAnsi="Times New Roman" w:cs="Times New Roman"/>
          <w:sz w:val="24"/>
          <w:szCs w:val="24"/>
          <w:lang w:val="en-US"/>
        </w:rPr>
        <w:t>NAVIGATOR.Web</w:t>
      </w:r>
      <w:proofErr w:type="spellEnd"/>
      <w:r w:rsidR="00D55472" w:rsidRPr="005A255B">
        <w:rPr>
          <w:rFonts w:ascii="Times New Roman" w:eastAsia="Calibri" w:hAnsi="Times New Roman" w:cs="Times New Roman"/>
          <w:sz w:val="24"/>
          <w:szCs w:val="24"/>
          <w:lang w:val="en-US"/>
        </w:rPr>
        <w:t>. As well as essential components:</w:t>
      </w:r>
    </w:p>
    <w:p w:rsidR="00D55472" w:rsidRPr="005A255B" w:rsidRDefault="00D55472" w:rsidP="00472CA4">
      <w:pPr>
        <w:numPr>
          <w:ilvl w:val="0"/>
          <w:numId w:val="40"/>
        </w:numPr>
        <w:autoSpaceDN w:val="0"/>
        <w:spacing w:after="120" w:line="240" w:lineRule="auto"/>
        <w:ind w:left="1276" w:hanging="425"/>
        <w:jc w:val="both"/>
        <w:rPr>
          <w:rFonts w:ascii="Times New Roman" w:eastAsia="Calibri" w:hAnsi="Times New Roman" w:cs="Times New Roman"/>
          <w:sz w:val="24"/>
          <w:szCs w:val="24"/>
          <w:lang w:val="en-US"/>
        </w:rPr>
      </w:pPr>
      <w:r w:rsidRPr="005A255B">
        <w:rPr>
          <w:rFonts w:ascii="Times New Roman" w:eastAsia="Calibri" w:hAnsi="Times New Roman" w:cs="Times New Roman"/>
          <w:i/>
          <w:sz w:val="24"/>
          <w:szCs w:val="24"/>
          <w:lang w:val="en-US"/>
        </w:rPr>
        <w:t>Data bus (Bus) -</w:t>
      </w:r>
      <w:r w:rsidRPr="005A255B">
        <w:rPr>
          <w:rFonts w:ascii="Times New Roman" w:eastAsia="Calibri" w:hAnsi="Times New Roman" w:cs="Times New Roman"/>
          <w:sz w:val="24"/>
          <w:szCs w:val="24"/>
          <w:lang w:val="en-US"/>
        </w:rPr>
        <w:t xml:space="preserve"> a universal mean of integration with both external information and trading systems (Bloomberg, Reuters, CB RF, etc.) and internal (back-office, limits control system, the CRM solution); </w:t>
      </w:r>
    </w:p>
    <w:p w:rsidR="00D55472" w:rsidRPr="005A255B" w:rsidRDefault="00D55472" w:rsidP="00472CA4">
      <w:pPr>
        <w:numPr>
          <w:ilvl w:val="0"/>
          <w:numId w:val="40"/>
        </w:numPr>
        <w:autoSpaceDN w:val="0"/>
        <w:spacing w:after="120" w:line="240" w:lineRule="auto"/>
        <w:ind w:left="1276" w:hanging="425"/>
        <w:jc w:val="both"/>
        <w:rPr>
          <w:rFonts w:ascii="Times New Roman" w:eastAsia="Calibri" w:hAnsi="Times New Roman" w:cs="Times New Roman"/>
          <w:sz w:val="24"/>
          <w:szCs w:val="24"/>
          <w:lang w:val="en-US"/>
        </w:rPr>
      </w:pPr>
      <w:r w:rsidRPr="005A255B">
        <w:rPr>
          <w:rFonts w:ascii="Times New Roman" w:eastAsia="Calibri" w:hAnsi="Times New Roman" w:cs="Times New Roman"/>
          <w:i/>
          <w:sz w:val="24"/>
          <w:szCs w:val="24"/>
          <w:lang w:val="en-US"/>
        </w:rPr>
        <w:t>Integration with Library of financial mathematics FINCAD</w:t>
      </w:r>
      <w:r w:rsidRPr="005A255B">
        <w:rPr>
          <w:rFonts w:ascii="Times New Roman" w:eastAsia="Calibri" w:hAnsi="Times New Roman" w:cs="Times New Roman"/>
          <w:sz w:val="24"/>
          <w:szCs w:val="24"/>
          <w:lang w:val="en-US"/>
        </w:rPr>
        <w:t xml:space="preserve"> - seamless and transparent mechanism for assessing portfolio risk procedure </w:t>
      </w:r>
      <w:r>
        <w:rPr>
          <w:rFonts w:ascii="Times New Roman" w:eastAsia="Calibri" w:hAnsi="Times New Roman" w:cs="Times New Roman"/>
          <w:sz w:val="24"/>
          <w:szCs w:val="24"/>
          <w:lang w:val="en-US"/>
        </w:rPr>
        <w:t xml:space="preserve">based on </w:t>
      </w:r>
      <w:r w:rsidRPr="005A255B">
        <w:rPr>
          <w:rFonts w:ascii="Times New Roman" w:eastAsia="Calibri" w:hAnsi="Times New Roman" w:cs="Times New Roman"/>
          <w:sz w:val="24"/>
          <w:szCs w:val="24"/>
          <w:lang w:val="en-US"/>
        </w:rPr>
        <w:t>FINCAD</w:t>
      </w:r>
      <w:r>
        <w:rPr>
          <w:rFonts w:ascii="Times New Roman" w:eastAsia="Calibri" w:hAnsi="Times New Roman" w:cs="Times New Roman"/>
          <w:sz w:val="24"/>
          <w:szCs w:val="24"/>
          <w:lang w:val="en-US"/>
        </w:rPr>
        <w:t xml:space="preserve"> methodology </w:t>
      </w:r>
      <w:r w:rsidRPr="005A255B">
        <w:rPr>
          <w:rFonts w:ascii="Times New Roman" w:eastAsia="Calibri" w:hAnsi="Times New Roman" w:cs="Times New Roman"/>
          <w:sz w:val="24"/>
          <w:szCs w:val="24"/>
          <w:lang w:val="en-US"/>
        </w:rPr>
        <w:t xml:space="preserve"> - de facto global</w:t>
      </w:r>
      <w:r>
        <w:rPr>
          <w:rFonts w:ascii="Times New Roman" w:eastAsia="Calibri" w:hAnsi="Times New Roman" w:cs="Times New Roman"/>
          <w:sz w:val="24"/>
          <w:szCs w:val="24"/>
          <w:lang w:val="en-US"/>
        </w:rPr>
        <w:t xml:space="preserve">ly </w:t>
      </w:r>
      <w:r w:rsidRPr="005A255B">
        <w:rPr>
          <w:rFonts w:ascii="Times New Roman" w:eastAsia="Calibri" w:hAnsi="Times New Roman" w:cs="Times New Roman"/>
          <w:sz w:val="24"/>
          <w:szCs w:val="24"/>
          <w:lang w:val="en-US"/>
        </w:rPr>
        <w:t xml:space="preserve">recognized standard ; </w:t>
      </w:r>
    </w:p>
    <w:p w:rsidR="00D55472" w:rsidRPr="005A255B" w:rsidRDefault="00D55472" w:rsidP="00472CA4">
      <w:pPr>
        <w:numPr>
          <w:ilvl w:val="0"/>
          <w:numId w:val="40"/>
        </w:numPr>
        <w:autoSpaceDN w:val="0"/>
        <w:spacing w:after="120" w:line="240" w:lineRule="auto"/>
        <w:ind w:left="1276" w:hanging="425"/>
        <w:jc w:val="both"/>
        <w:rPr>
          <w:rFonts w:ascii="Times New Roman" w:eastAsia="Calibri" w:hAnsi="Times New Roman" w:cs="Times New Roman"/>
          <w:sz w:val="24"/>
          <w:szCs w:val="24"/>
          <w:lang w:val="en-US"/>
        </w:rPr>
      </w:pPr>
      <w:r w:rsidRPr="005A255B">
        <w:rPr>
          <w:rFonts w:ascii="Times New Roman" w:eastAsia="Calibri" w:hAnsi="Times New Roman" w:cs="Times New Roman"/>
          <w:i/>
          <w:sz w:val="24"/>
          <w:szCs w:val="24"/>
          <w:lang w:val="en-US"/>
        </w:rPr>
        <w:t>Module of OTC-derivatives</w:t>
      </w:r>
      <w:r w:rsidRPr="005A255B">
        <w:rPr>
          <w:rFonts w:ascii="Times New Roman" w:eastAsia="Calibri" w:hAnsi="Times New Roman" w:cs="Times New Roman"/>
          <w:sz w:val="24"/>
          <w:szCs w:val="24"/>
          <w:lang w:val="en-US"/>
        </w:rPr>
        <w:t xml:space="preserve"> </w:t>
      </w:r>
      <w:r w:rsidRPr="005A255B">
        <w:rPr>
          <w:rFonts w:ascii="Times New Roman" w:eastAsia="Calibri" w:hAnsi="Times New Roman" w:cs="Times New Roman"/>
          <w:i/>
          <w:sz w:val="24"/>
          <w:szCs w:val="24"/>
          <w:lang w:val="en-US"/>
        </w:rPr>
        <w:t xml:space="preserve">Clearing </w:t>
      </w:r>
      <w:r w:rsidRPr="005A255B">
        <w:rPr>
          <w:rFonts w:ascii="Times New Roman" w:eastAsia="Calibri" w:hAnsi="Times New Roman" w:cs="Times New Roman"/>
          <w:sz w:val="24"/>
          <w:szCs w:val="24"/>
          <w:lang w:val="en-US"/>
        </w:rPr>
        <w:t xml:space="preserve">- a unique development of </w:t>
      </w:r>
      <w:proofErr w:type="spellStart"/>
      <w:r w:rsidRPr="005A255B">
        <w:rPr>
          <w:rFonts w:ascii="Times New Roman" w:eastAsia="Calibri" w:hAnsi="Times New Roman" w:cs="Times New Roman"/>
          <w:sz w:val="24"/>
          <w:szCs w:val="24"/>
          <w:lang w:val="en-US"/>
        </w:rPr>
        <w:t>Softwell</w:t>
      </w:r>
      <w:proofErr w:type="spellEnd"/>
      <w:r>
        <w:rPr>
          <w:rFonts w:ascii="Times New Roman" w:eastAsia="Calibri" w:hAnsi="Times New Roman" w:cs="Times New Roman"/>
          <w:sz w:val="24"/>
          <w:szCs w:val="24"/>
          <w:lang w:val="en-US"/>
        </w:rPr>
        <w:t xml:space="preserve"> made by order </w:t>
      </w:r>
      <w:proofErr w:type="gramStart"/>
      <w:r>
        <w:rPr>
          <w:rFonts w:ascii="Times New Roman" w:eastAsia="Calibri" w:hAnsi="Times New Roman" w:cs="Times New Roman"/>
          <w:sz w:val="24"/>
          <w:szCs w:val="24"/>
          <w:lang w:val="en-US"/>
        </w:rPr>
        <w:t xml:space="preserve">of </w:t>
      </w:r>
      <w:r w:rsidRPr="005A255B">
        <w:rPr>
          <w:rFonts w:ascii="Times New Roman" w:eastAsia="Calibri" w:hAnsi="Times New Roman" w:cs="Times New Roman"/>
          <w:sz w:val="24"/>
          <w:szCs w:val="24"/>
          <w:lang w:val="en-US"/>
        </w:rPr>
        <w:t xml:space="preserve"> Moscow</w:t>
      </w:r>
      <w:proofErr w:type="gramEnd"/>
      <w:r w:rsidRPr="005A255B">
        <w:rPr>
          <w:rFonts w:ascii="Times New Roman" w:eastAsia="Calibri" w:hAnsi="Times New Roman" w:cs="Times New Roman"/>
          <w:sz w:val="24"/>
          <w:szCs w:val="24"/>
          <w:lang w:val="en-US"/>
        </w:rPr>
        <w:t xml:space="preserve"> Exchange, realizing the </w:t>
      </w:r>
      <w:hyperlink r:id="rId35" w:history="1">
        <w:r w:rsidRPr="00480991">
          <w:rPr>
            <w:rFonts w:ascii="Times New Roman" w:hAnsi="Times New Roman" w:cs="Times New Roman"/>
            <w:sz w:val="24"/>
            <w:szCs w:val="24"/>
            <w:lang w:val="en-US"/>
          </w:rPr>
          <w:t>functionality</w:t>
        </w:r>
      </w:hyperlink>
      <w:r w:rsidRPr="00480991">
        <w:rPr>
          <w:rFonts w:ascii="Times New Roman" w:eastAsia="Calibri" w:hAnsi="Times New Roman" w:cs="Times New Roman"/>
          <w:sz w:val="24"/>
          <w:szCs w:val="24"/>
          <w:lang w:val="en-US"/>
        </w:rPr>
        <w:t xml:space="preserve"> </w:t>
      </w:r>
      <w:r w:rsidRPr="00296370">
        <w:rPr>
          <w:rFonts w:ascii="Times New Roman" w:eastAsia="Calibri" w:hAnsi="Times New Roman" w:cs="Times New Roman"/>
          <w:sz w:val="24"/>
          <w:szCs w:val="24"/>
          <w:lang w:val="en-US"/>
        </w:rPr>
        <w:t xml:space="preserve"> of </w:t>
      </w:r>
      <w:r w:rsidR="00F55433">
        <w:rPr>
          <w:rFonts w:ascii="Times New Roman" w:eastAsia="Calibri" w:hAnsi="Times New Roman" w:cs="Times New Roman"/>
          <w:sz w:val="24"/>
          <w:szCs w:val="24"/>
          <w:lang w:val="en-US"/>
        </w:rPr>
        <w:t xml:space="preserve">a </w:t>
      </w:r>
      <w:r w:rsidRPr="00296370">
        <w:rPr>
          <w:rFonts w:ascii="Times New Roman" w:eastAsia="Calibri" w:hAnsi="Times New Roman" w:cs="Times New Roman"/>
          <w:sz w:val="24"/>
          <w:szCs w:val="24"/>
          <w:lang w:val="en-US"/>
        </w:rPr>
        <w:t>central</w:t>
      </w:r>
      <w:r w:rsidRPr="005A255B">
        <w:rPr>
          <w:rFonts w:ascii="Times New Roman" w:eastAsia="Calibri" w:hAnsi="Times New Roman" w:cs="Times New Roman"/>
          <w:sz w:val="24"/>
          <w:szCs w:val="24"/>
          <w:lang w:val="en-US"/>
        </w:rPr>
        <w:t xml:space="preserve"> counterparty.</w:t>
      </w:r>
    </w:p>
    <w:p w:rsidR="00D55472" w:rsidRPr="005A255B" w:rsidRDefault="00D55472" w:rsidP="00D55472">
      <w:pPr>
        <w:autoSpaceDN w:val="0"/>
        <w:spacing w:after="120" w:line="240" w:lineRule="auto"/>
        <w:ind w:firstLine="567"/>
        <w:jc w:val="both"/>
        <w:rPr>
          <w:rFonts w:ascii="Times New Roman" w:hAnsi="Times New Roman" w:cs="Times New Roman"/>
          <w:sz w:val="24"/>
          <w:szCs w:val="24"/>
          <w:lang w:val="en-US"/>
        </w:rPr>
      </w:pPr>
      <w:r w:rsidRPr="005A255B">
        <w:rPr>
          <w:rFonts w:ascii="Times New Roman" w:eastAsia="Calibri" w:hAnsi="Times New Roman" w:cs="Times New Roman"/>
          <w:sz w:val="24"/>
          <w:szCs w:val="24"/>
          <w:lang w:val="en-US"/>
        </w:rPr>
        <w:t xml:space="preserve">This system was subject to the following requirements </w:t>
      </w:r>
      <w:r>
        <w:rPr>
          <w:rFonts w:ascii="Times New Roman" w:eastAsia="Calibri" w:hAnsi="Times New Roman" w:cs="Times New Roman"/>
          <w:sz w:val="24"/>
          <w:szCs w:val="24"/>
          <w:lang w:val="en-US"/>
        </w:rPr>
        <w:t>regarding</w:t>
      </w:r>
      <w:r w:rsidRPr="005A255B">
        <w:rPr>
          <w:rFonts w:ascii="Times New Roman" w:eastAsia="Calibri" w:hAnsi="Times New Roman" w:cs="Times New Roman"/>
          <w:sz w:val="24"/>
          <w:szCs w:val="24"/>
          <w:lang w:val="en-US"/>
        </w:rPr>
        <w:t xml:space="preserve"> reliability and sustainability</w:t>
      </w:r>
      <w:r w:rsidRPr="005A255B">
        <w:rPr>
          <w:rFonts w:ascii="Times New Roman" w:hAnsi="Times New Roman" w:cs="Times New Roman"/>
          <w:sz w:val="24"/>
          <w:szCs w:val="24"/>
          <w:shd w:val="clear" w:color="auto" w:fill="FDFDFD"/>
          <w:lang w:val="en-US"/>
        </w:rPr>
        <w:t>:</w:t>
      </w:r>
    </w:p>
    <w:p w:rsidR="00D55472" w:rsidRPr="005A255B" w:rsidRDefault="00D55472" w:rsidP="00472CA4">
      <w:pPr>
        <w:numPr>
          <w:ilvl w:val="0"/>
          <w:numId w:val="41"/>
        </w:numPr>
        <w:autoSpaceDN w:val="0"/>
        <w:spacing w:after="120" w:line="240" w:lineRule="auto"/>
        <w:jc w:val="both"/>
        <w:rPr>
          <w:rFonts w:ascii="Times New Roman" w:eastAsia="Calibri" w:hAnsi="Times New Roman" w:cs="Times New Roman"/>
          <w:sz w:val="24"/>
          <w:szCs w:val="24"/>
          <w:lang w:val="en-US"/>
        </w:rPr>
      </w:pPr>
      <w:r w:rsidRPr="005A255B">
        <w:rPr>
          <w:rFonts w:ascii="Times New Roman" w:eastAsia="Calibri" w:hAnsi="Times New Roman" w:cs="Times New Roman"/>
          <w:sz w:val="24"/>
          <w:szCs w:val="24"/>
          <w:lang w:val="en-US"/>
        </w:rPr>
        <w:t>The system should provide a guaranteed bidirectional communication with back office</w:t>
      </w:r>
      <w:r>
        <w:rPr>
          <w:rFonts w:ascii="Times New Roman" w:eastAsia="Calibri" w:hAnsi="Times New Roman" w:cs="Times New Roman"/>
          <w:sz w:val="24"/>
          <w:szCs w:val="24"/>
          <w:lang w:val="en-US"/>
        </w:rPr>
        <w:t xml:space="preserve"> - the</w:t>
      </w:r>
      <w:r w:rsidRPr="005A255B">
        <w:rPr>
          <w:rFonts w:ascii="Times New Roman" w:eastAsia="Calibri" w:hAnsi="Times New Roman" w:cs="Times New Roman"/>
          <w:sz w:val="24"/>
          <w:szCs w:val="24"/>
          <w:lang w:val="en-US"/>
        </w:rPr>
        <w:t xml:space="preserve"> control </w:t>
      </w:r>
      <w:proofErr w:type="gramStart"/>
      <w:r w:rsidRPr="005A255B">
        <w:rPr>
          <w:rFonts w:ascii="Times New Roman" w:eastAsia="Calibri" w:hAnsi="Times New Roman" w:cs="Times New Roman"/>
          <w:sz w:val="24"/>
          <w:szCs w:val="24"/>
          <w:lang w:val="en-US"/>
        </w:rPr>
        <w:t xml:space="preserve">of </w:t>
      </w:r>
      <w:r w:rsidRPr="00815A84" w:rsidDel="00815A84">
        <w:rPr>
          <w:rFonts w:ascii="Times New Roman" w:eastAsia="Calibri" w:hAnsi="Times New Roman" w:cs="Times New Roman"/>
          <w:sz w:val="24"/>
          <w:szCs w:val="24"/>
          <w:lang w:val="en-US"/>
        </w:rPr>
        <w:t xml:space="preserve"> </w:t>
      </w:r>
      <w:r w:rsidRPr="005A255B">
        <w:rPr>
          <w:rFonts w:ascii="Times New Roman" w:eastAsia="Calibri" w:hAnsi="Times New Roman" w:cs="Times New Roman"/>
          <w:sz w:val="24"/>
          <w:szCs w:val="24"/>
          <w:lang w:val="en-US"/>
        </w:rPr>
        <w:t>adequacy</w:t>
      </w:r>
      <w:proofErr w:type="gramEnd"/>
      <w:r>
        <w:rPr>
          <w:rFonts w:ascii="Times New Roman" w:eastAsia="Calibri" w:hAnsi="Times New Roman" w:cs="Times New Roman"/>
          <w:sz w:val="24"/>
          <w:szCs w:val="24"/>
          <w:lang w:val="en-US"/>
        </w:rPr>
        <w:t xml:space="preserve"> </w:t>
      </w:r>
      <w:r w:rsidRPr="005A255B">
        <w:rPr>
          <w:rFonts w:ascii="Times New Roman" w:eastAsia="Calibri" w:hAnsi="Times New Roman" w:cs="Times New Roman"/>
          <w:sz w:val="24"/>
          <w:szCs w:val="24"/>
          <w:lang w:val="en-US"/>
        </w:rPr>
        <w:t xml:space="preserve">of collateral should be based on data from the accounting, actual at the moment. At the same </w:t>
      </w:r>
      <w:r>
        <w:rPr>
          <w:rFonts w:ascii="Times New Roman" w:eastAsia="Calibri" w:hAnsi="Times New Roman" w:cs="Times New Roman"/>
          <w:sz w:val="24"/>
          <w:szCs w:val="24"/>
          <w:lang w:val="en-US"/>
        </w:rPr>
        <w:t xml:space="preserve">time </w:t>
      </w:r>
      <w:r w:rsidRPr="005A255B">
        <w:rPr>
          <w:rFonts w:ascii="Times New Roman" w:eastAsia="Calibri" w:hAnsi="Times New Roman" w:cs="Times New Roman"/>
          <w:sz w:val="24"/>
          <w:szCs w:val="24"/>
          <w:lang w:val="en-US"/>
        </w:rPr>
        <w:t>the deposit/withdrawal by participants through the S.W.I.F.T. system</w:t>
      </w:r>
      <w:r w:rsidRPr="00613119">
        <w:rPr>
          <w:rFonts w:ascii="Times New Roman" w:eastAsia="Calibri" w:hAnsi="Times New Roman" w:cs="Times New Roman"/>
          <w:sz w:val="24"/>
          <w:szCs w:val="24"/>
          <w:lang w:val="en-US"/>
        </w:rPr>
        <w:t xml:space="preserve"> </w:t>
      </w:r>
      <w:r w:rsidRPr="005A255B">
        <w:rPr>
          <w:rFonts w:ascii="Times New Roman" w:eastAsia="Calibri" w:hAnsi="Times New Roman" w:cs="Times New Roman"/>
          <w:sz w:val="24"/>
          <w:szCs w:val="24"/>
          <w:lang w:val="en-US"/>
        </w:rPr>
        <w:t>shall be ensured</w:t>
      </w:r>
      <w:r>
        <w:rPr>
          <w:rFonts w:ascii="Times New Roman" w:eastAsia="Calibri" w:hAnsi="Times New Roman" w:cs="Times New Roman"/>
          <w:sz w:val="24"/>
          <w:szCs w:val="24"/>
          <w:lang w:val="en-US"/>
        </w:rPr>
        <w:t>.</w:t>
      </w:r>
      <w:r w:rsidRPr="005A255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When there </w:t>
      </w:r>
      <w:r w:rsidR="00F55433">
        <w:rPr>
          <w:rFonts w:ascii="Times New Roman" w:eastAsia="Calibri" w:hAnsi="Times New Roman" w:cs="Times New Roman"/>
          <w:sz w:val="24"/>
          <w:szCs w:val="24"/>
          <w:lang w:val="en-US"/>
        </w:rPr>
        <w:t>are</w:t>
      </w:r>
      <w:r>
        <w:rPr>
          <w:rFonts w:ascii="Times New Roman" w:eastAsia="Calibri" w:hAnsi="Times New Roman" w:cs="Times New Roman"/>
          <w:sz w:val="24"/>
          <w:szCs w:val="24"/>
          <w:lang w:val="en-US"/>
        </w:rPr>
        <w:t xml:space="preserve"> funds</w:t>
      </w:r>
      <w:r w:rsidRPr="005A255B">
        <w:rPr>
          <w:rFonts w:ascii="Times New Roman" w:eastAsia="Calibri" w:hAnsi="Times New Roman" w:cs="Times New Roman"/>
          <w:sz w:val="24"/>
          <w:szCs w:val="24"/>
          <w:lang w:val="en-US"/>
        </w:rPr>
        <w:t xml:space="preserve"> withdrawal it is necessary to monitor the adequacy of the collateral at once</w:t>
      </w:r>
      <w:r>
        <w:rPr>
          <w:rFonts w:ascii="Times New Roman" w:eastAsia="Calibri" w:hAnsi="Times New Roman" w:cs="Times New Roman"/>
          <w:sz w:val="24"/>
          <w:szCs w:val="24"/>
          <w:lang w:val="en-US"/>
        </w:rPr>
        <w:t xml:space="preserve"> -</w:t>
      </w:r>
      <w:r w:rsidRPr="005A255B">
        <w:rPr>
          <w:rFonts w:ascii="Times New Roman" w:eastAsia="Calibri" w:hAnsi="Times New Roman" w:cs="Times New Roman"/>
          <w:sz w:val="24"/>
          <w:szCs w:val="24"/>
          <w:lang w:val="en-US"/>
        </w:rPr>
        <w:t xml:space="preserve"> in case of exceeding the requirements the withdrawal by Navigator is prohibited. That is, in addition to monitoring </w:t>
      </w:r>
      <w:r w:rsidR="00F55433">
        <w:rPr>
          <w:rFonts w:ascii="Times New Roman" w:eastAsia="Calibri" w:hAnsi="Times New Roman" w:cs="Times New Roman"/>
          <w:sz w:val="24"/>
          <w:szCs w:val="24"/>
          <w:lang w:val="en-US"/>
        </w:rPr>
        <w:t xml:space="preserve">of </w:t>
      </w:r>
      <w:r w:rsidRPr="005A255B">
        <w:rPr>
          <w:rFonts w:ascii="Times New Roman" w:eastAsia="Calibri" w:hAnsi="Times New Roman" w:cs="Times New Roman"/>
          <w:sz w:val="24"/>
          <w:szCs w:val="24"/>
          <w:lang w:val="en-US"/>
        </w:rPr>
        <w:t xml:space="preserve">the transport layer data delivery via the </w:t>
      </w:r>
      <w:proofErr w:type="gramStart"/>
      <w:r w:rsidRPr="005A255B">
        <w:rPr>
          <w:rFonts w:ascii="Times New Roman" w:eastAsia="Calibri" w:hAnsi="Times New Roman" w:cs="Times New Roman"/>
          <w:sz w:val="24"/>
          <w:szCs w:val="24"/>
          <w:lang w:val="en-US"/>
        </w:rPr>
        <w:t>Bus,</w:t>
      </w:r>
      <w:proofErr w:type="gramEnd"/>
      <w:r w:rsidRPr="005A255B">
        <w:rPr>
          <w:rFonts w:ascii="Times New Roman" w:eastAsia="Calibri" w:hAnsi="Times New Roman" w:cs="Times New Roman"/>
          <w:sz w:val="24"/>
          <w:szCs w:val="24"/>
          <w:lang w:val="en-US"/>
        </w:rPr>
        <w:t xml:space="preserve"> was necessary to ensure the Protocol's control of the upper, applied, financial level, with a full scan on the model FINCAD.</w:t>
      </w:r>
    </w:p>
    <w:p w:rsidR="00D55472" w:rsidRPr="005A255B" w:rsidRDefault="00D55472" w:rsidP="00472CA4">
      <w:pPr>
        <w:numPr>
          <w:ilvl w:val="0"/>
          <w:numId w:val="41"/>
        </w:numPr>
        <w:autoSpaceDN w:val="0"/>
        <w:spacing w:after="120" w:line="240" w:lineRule="auto"/>
        <w:ind w:left="1276" w:hanging="425"/>
        <w:jc w:val="both"/>
        <w:rPr>
          <w:rFonts w:ascii="Times New Roman" w:eastAsia="Calibri" w:hAnsi="Times New Roman" w:cs="Times New Roman"/>
          <w:sz w:val="24"/>
          <w:szCs w:val="24"/>
          <w:lang w:val="en-US"/>
        </w:rPr>
      </w:pPr>
      <w:r w:rsidRPr="005A255B">
        <w:rPr>
          <w:rFonts w:ascii="Times New Roman" w:eastAsia="Calibri" w:hAnsi="Times New Roman" w:cs="Times New Roman"/>
          <w:sz w:val="24"/>
          <w:szCs w:val="24"/>
          <w:lang w:val="en-US"/>
        </w:rPr>
        <w:t>The system should have</w:t>
      </w:r>
      <w:r>
        <w:rPr>
          <w:rFonts w:ascii="Times New Roman" w:eastAsia="Calibri" w:hAnsi="Times New Roman" w:cs="Times New Roman"/>
          <w:sz w:val="24"/>
          <w:szCs w:val="24"/>
          <w:lang w:val="en-US"/>
        </w:rPr>
        <w:t xml:space="preserve"> the</w:t>
      </w:r>
      <w:r w:rsidRPr="005A255B">
        <w:rPr>
          <w:rFonts w:ascii="Times New Roman" w:eastAsia="Calibri" w:hAnsi="Times New Roman" w:cs="Times New Roman"/>
          <w:sz w:val="24"/>
          <w:szCs w:val="24"/>
          <w:lang w:val="en-US"/>
        </w:rPr>
        <w:t xml:space="preserve"> interface to Bloomberg, which downloads the market level</w:t>
      </w:r>
      <w:r>
        <w:rPr>
          <w:rFonts w:ascii="Times New Roman" w:eastAsia="Calibri" w:hAnsi="Times New Roman" w:cs="Times New Roman"/>
          <w:sz w:val="24"/>
          <w:szCs w:val="24"/>
          <w:lang w:val="en-US"/>
        </w:rPr>
        <w:t xml:space="preserve"> data</w:t>
      </w:r>
      <w:r w:rsidRPr="005A255B">
        <w:rPr>
          <w:rFonts w:ascii="Times New Roman" w:eastAsia="Calibri" w:hAnsi="Times New Roman" w:cs="Times New Roman"/>
          <w:sz w:val="24"/>
          <w:szCs w:val="24"/>
          <w:lang w:val="en-US"/>
        </w:rPr>
        <w:t xml:space="preserve">, participating in the model of </w:t>
      </w:r>
      <w:hyperlink r:id="rId36" w:tooltip="Standardised OTC derivatives market" w:history="1">
        <w:r w:rsidRPr="00B44D16">
          <w:rPr>
            <w:rFonts w:ascii="Times New Roman" w:eastAsia="Calibri" w:hAnsi="Times New Roman" w:cs="Times New Roman"/>
            <w:sz w:val="24"/>
            <w:szCs w:val="24"/>
            <w:lang w:val="en-US"/>
          </w:rPr>
          <w:t>Standardi</w:t>
        </w:r>
        <w:r>
          <w:rPr>
            <w:rFonts w:ascii="Times New Roman" w:eastAsia="Calibri" w:hAnsi="Times New Roman" w:cs="Times New Roman"/>
            <w:sz w:val="24"/>
            <w:szCs w:val="24"/>
            <w:lang w:val="en-US"/>
          </w:rPr>
          <w:t>z</w:t>
        </w:r>
        <w:r w:rsidRPr="00B44D16">
          <w:rPr>
            <w:rFonts w:ascii="Times New Roman" w:eastAsia="Calibri" w:hAnsi="Times New Roman" w:cs="Times New Roman"/>
            <w:sz w:val="24"/>
            <w:szCs w:val="24"/>
            <w:lang w:val="en-US"/>
          </w:rPr>
          <w:t xml:space="preserve">ed </w:t>
        </w:r>
        <w:r>
          <w:rPr>
            <w:rFonts w:ascii="Times New Roman" w:eastAsia="Calibri" w:hAnsi="Times New Roman" w:cs="Times New Roman"/>
            <w:sz w:val="24"/>
            <w:szCs w:val="24"/>
            <w:lang w:val="en-US"/>
          </w:rPr>
          <w:t>DI</w:t>
        </w:r>
        <w:r w:rsidRPr="00B44D16">
          <w:rPr>
            <w:rFonts w:ascii="Times New Roman" w:eastAsia="Calibri" w:hAnsi="Times New Roman" w:cs="Times New Roman"/>
            <w:sz w:val="24"/>
            <w:szCs w:val="24"/>
            <w:lang w:val="en-US"/>
          </w:rPr>
          <w:t xml:space="preserve"> market</w:t>
        </w:r>
      </w:hyperlink>
      <w:r>
        <w:rPr>
          <w:rFonts w:ascii="Times New Roman" w:eastAsia="Calibri" w:hAnsi="Times New Roman" w:cs="Times New Roman"/>
          <w:sz w:val="24"/>
          <w:szCs w:val="24"/>
          <w:lang w:val="en-US"/>
        </w:rPr>
        <w:t xml:space="preserve"> </w:t>
      </w:r>
      <w:r w:rsidRPr="005A255B">
        <w:rPr>
          <w:rFonts w:ascii="Times New Roman" w:eastAsia="Calibri" w:hAnsi="Times New Roman" w:cs="Times New Roman"/>
          <w:sz w:val="24"/>
          <w:szCs w:val="24"/>
          <w:lang w:val="en-US"/>
        </w:rPr>
        <w:t>- quotes, transfer rates, ind</w:t>
      </w:r>
      <w:r>
        <w:rPr>
          <w:rFonts w:ascii="Times New Roman" w:eastAsia="Calibri" w:hAnsi="Times New Roman" w:cs="Times New Roman"/>
          <w:sz w:val="24"/>
          <w:szCs w:val="24"/>
          <w:lang w:val="en-US"/>
        </w:rPr>
        <w:t>exes</w:t>
      </w:r>
      <w:r w:rsidRPr="005A255B">
        <w:rPr>
          <w:rFonts w:ascii="Times New Roman" w:eastAsia="Calibri" w:hAnsi="Times New Roman" w:cs="Times New Roman"/>
          <w:sz w:val="24"/>
          <w:szCs w:val="24"/>
          <w:lang w:val="en-US"/>
        </w:rPr>
        <w:t xml:space="preserve"> and other indicators, and also allows </w:t>
      </w:r>
      <w:proofErr w:type="gramStart"/>
      <w:r w:rsidRPr="005A255B">
        <w:rPr>
          <w:rFonts w:ascii="Times New Roman" w:eastAsia="Calibri" w:hAnsi="Times New Roman" w:cs="Times New Roman"/>
          <w:sz w:val="24"/>
          <w:szCs w:val="24"/>
          <w:lang w:val="en-US"/>
        </w:rPr>
        <w:t>to receive</w:t>
      </w:r>
      <w:proofErr w:type="gramEnd"/>
      <w:r w:rsidRPr="005A255B">
        <w:rPr>
          <w:rFonts w:ascii="Times New Roman" w:eastAsia="Calibri" w:hAnsi="Times New Roman" w:cs="Times New Roman"/>
          <w:sz w:val="24"/>
          <w:szCs w:val="24"/>
          <w:lang w:val="en-US"/>
        </w:rPr>
        <w:t xml:space="preserve"> from Bloomberg </w:t>
      </w:r>
      <w:r>
        <w:rPr>
          <w:rFonts w:ascii="Times New Roman" w:eastAsia="Calibri" w:hAnsi="Times New Roman" w:cs="Times New Roman"/>
          <w:sz w:val="24"/>
          <w:szCs w:val="24"/>
          <w:lang w:val="en-US"/>
        </w:rPr>
        <w:t>for</w:t>
      </w:r>
      <w:r w:rsidRPr="005A255B">
        <w:rPr>
          <w:rFonts w:ascii="Times New Roman" w:eastAsia="Calibri" w:hAnsi="Times New Roman" w:cs="Times New Roman"/>
          <w:sz w:val="24"/>
          <w:szCs w:val="24"/>
          <w:lang w:val="en-US"/>
        </w:rPr>
        <w:t xml:space="preserve"> clearing already matched orders - the essence of the trade. The possibility of extending this interface under other providers, including Reuters</w:t>
      </w:r>
      <w:r>
        <w:rPr>
          <w:rFonts w:ascii="Times New Roman" w:eastAsia="Calibri" w:hAnsi="Times New Roman" w:cs="Times New Roman"/>
          <w:sz w:val="24"/>
          <w:szCs w:val="24"/>
          <w:lang w:val="en-US"/>
        </w:rPr>
        <w:t>, was considered.</w:t>
      </w:r>
    </w:p>
    <w:p w:rsidR="00D55472" w:rsidRPr="005A255B" w:rsidRDefault="00D55472" w:rsidP="00D55472">
      <w:pPr>
        <w:autoSpaceDN w:val="0"/>
        <w:spacing w:after="120" w:line="240" w:lineRule="auto"/>
        <w:ind w:firstLine="567"/>
        <w:jc w:val="both"/>
        <w:rPr>
          <w:rFonts w:ascii="Times New Roman" w:eastAsia="Calibri" w:hAnsi="Times New Roman" w:cs="Times New Roman"/>
          <w:sz w:val="24"/>
          <w:szCs w:val="24"/>
          <w:lang w:val="en-US"/>
        </w:rPr>
      </w:pPr>
      <w:r w:rsidRPr="005A255B">
        <w:rPr>
          <w:rFonts w:ascii="Times New Roman" w:eastAsia="Calibri" w:hAnsi="Times New Roman" w:cs="Times New Roman"/>
          <w:sz w:val="24"/>
          <w:szCs w:val="24"/>
          <w:lang w:val="en-US"/>
        </w:rPr>
        <w:t xml:space="preserve">Also, when designing the system other opportunities for expansion and scalability features were laid. </w:t>
      </w:r>
      <w:r w:rsidR="00F55433">
        <w:rPr>
          <w:rFonts w:ascii="Times New Roman" w:eastAsia="Calibri" w:hAnsi="Times New Roman" w:cs="Times New Roman"/>
          <w:sz w:val="24"/>
          <w:szCs w:val="24"/>
          <w:lang w:val="en-US"/>
        </w:rPr>
        <w:t>The s</w:t>
      </w:r>
      <w:r w:rsidRPr="005A255B">
        <w:rPr>
          <w:rFonts w:ascii="Times New Roman" w:eastAsia="Calibri" w:hAnsi="Times New Roman" w:cs="Times New Roman"/>
          <w:sz w:val="24"/>
          <w:szCs w:val="24"/>
          <w:lang w:val="en-US"/>
        </w:rPr>
        <w:t xml:space="preserve">ecurity </w:t>
      </w:r>
      <w:r>
        <w:rPr>
          <w:rFonts w:ascii="Times New Roman" w:eastAsia="Calibri" w:hAnsi="Times New Roman" w:cs="Times New Roman"/>
          <w:sz w:val="24"/>
          <w:szCs w:val="24"/>
          <w:lang w:val="en-US"/>
        </w:rPr>
        <w:t xml:space="preserve">of </w:t>
      </w:r>
      <w:r w:rsidRPr="005A255B">
        <w:rPr>
          <w:rFonts w:ascii="Times New Roman" w:eastAsia="Calibri" w:hAnsi="Times New Roman" w:cs="Times New Roman"/>
          <w:sz w:val="24"/>
          <w:szCs w:val="24"/>
          <w:lang w:val="en-US"/>
        </w:rPr>
        <w:t>communication</w:t>
      </w:r>
      <w:r>
        <w:rPr>
          <w:rFonts w:ascii="Times New Roman" w:eastAsia="Calibri" w:hAnsi="Times New Roman" w:cs="Times New Roman"/>
          <w:sz w:val="24"/>
          <w:szCs w:val="24"/>
          <w:lang w:val="en-US"/>
        </w:rPr>
        <w:t>s</w:t>
      </w:r>
      <w:r w:rsidRPr="005A255B">
        <w:rPr>
          <w:rFonts w:ascii="Times New Roman" w:eastAsia="Calibri" w:hAnsi="Times New Roman" w:cs="Times New Roman"/>
          <w:sz w:val="24"/>
          <w:szCs w:val="24"/>
          <w:lang w:val="en-US"/>
        </w:rPr>
        <w:t xml:space="preserve"> with participants is provided by standard methods - complex passwords, SSL, industrial firewalls. In addition, at the request of some members, the ability to control access to the system by IP address was implemented: optionally, participants may limit for themselves a list of authorized IP addresses and disable login on their ID with any other addresses.</w:t>
      </w:r>
    </w:p>
    <w:p w:rsidR="00D55472" w:rsidRPr="005A255B" w:rsidRDefault="00D55472" w:rsidP="00D55472">
      <w:pPr>
        <w:autoSpaceDN w:val="0"/>
        <w:spacing w:after="120" w:line="240" w:lineRule="auto"/>
        <w:ind w:firstLine="567"/>
        <w:jc w:val="both"/>
        <w:rPr>
          <w:rFonts w:ascii="Times New Roman" w:eastAsia="Calibri" w:hAnsi="Times New Roman" w:cs="Times New Roman"/>
          <w:sz w:val="24"/>
          <w:szCs w:val="24"/>
          <w:lang w:val="en-US"/>
        </w:rPr>
      </w:pPr>
      <w:r w:rsidRPr="005A255B">
        <w:rPr>
          <w:rFonts w:ascii="Times New Roman" w:eastAsia="Calibri" w:hAnsi="Times New Roman" w:cs="Times New Roman"/>
          <w:sz w:val="24"/>
          <w:szCs w:val="24"/>
          <w:lang w:val="en-US"/>
        </w:rPr>
        <w:t>System fault tolerance is achieved by full back up of</w:t>
      </w:r>
      <w:r w:rsidR="00FB2750">
        <w:rPr>
          <w:rFonts w:ascii="Times New Roman" w:eastAsia="Calibri" w:hAnsi="Times New Roman" w:cs="Times New Roman"/>
          <w:sz w:val="24"/>
          <w:szCs w:val="24"/>
          <w:lang w:val="en-US"/>
        </w:rPr>
        <w:t xml:space="preserve"> </w:t>
      </w:r>
      <w:proofErr w:type="gramStart"/>
      <w:r w:rsidRPr="005A255B">
        <w:rPr>
          <w:rFonts w:ascii="Times New Roman" w:eastAsia="Calibri" w:hAnsi="Times New Roman" w:cs="Times New Roman"/>
          <w:sz w:val="24"/>
          <w:szCs w:val="24"/>
          <w:lang w:val="en-US"/>
        </w:rPr>
        <w:t>servers,</w:t>
      </w:r>
      <w:proofErr w:type="gramEnd"/>
      <w:r w:rsidRPr="005A255B">
        <w:rPr>
          <w:rFonts w:ascii="Times New Roman" w:eastAsia="Calibri" w:hAnsi="Times New Roman" w:cs="Times New Roman"/>
          <w:sz w:val="24"/>
          <w:szCs w:val="24"/>
          <w:lang w:val="en-US"/>
        </w:rPr>
        <w:t xml:space="preserve"> both applied and database management systems; technologies for SAN data storage; geographical distribution of primary and backup paths; the use of network load balancers; other advanced technologies.</w:t>
      </w:r>
    </w:p>
    <w:p w:rsidR="00D55472" w:rsidRPr="005A255B" w:rsidRDefault="00D55472" w:rsidP="00D55472">
      <w:pPr>
        <w:autoSpaceDN w:val="0"/>
        <w:spacing w:after="120" w:line="240" w:lineRule="auto"/>
        <w:ind w:firstLine="567"/>
        <w:jc w:val="both"/>
        <w:rPr>
          <w:rFonts w:ascii="Times New Roman" w:eastAsia="Calibri" w:hAnsi="Times New Roman" w:cs="Times New Roman"/>
          <w:sz w:val="24"/>
          <w:szCs w:val="24"/>
          <w:lang w:val="en-US"/>
        </w:rPr>
      </w:pPr>
      <w:r w:rsidRPr="005A255B">
        <w:rPr>
          <w:rFonts w:ascii="Times New Roman" w:eastAsia="Calibri" w:hAnsi="Times New Roman" w:cs="Times New Roman"/>
          <w:sz w:val="24"/>
          <w:szCs w:val="24"/>
          <w:lang w:val="en-US"/>
        </w:rPr>
        <w:t xml:space="preserve">The main direction of activity in 2013 year in the sphere of the improvement of the technology used to </w:t>
      </w:r>
      <w:r w:rsidRPr="00B44D16">
        <w:rPr>
          <w:rFonts w:ascii="Times New Roman" w:eastAsia="Calibri" w:hAnsi="Times New Roman" w:cs="Times New Roman"/>
          <w:sz w:val="24"/>
          <w:szCs w:val="24"/>
          <w:lang w:val="en-US"/>
        </w:rPr>
        <w:t>execute</w:t>
      </w:r>
      <w:r>
        <w:rPr>
          <w:rFonts w:ascii="Times New Roman" w:eastAsia="Calibri" w:hAnsi="Times New Roman" w:cs="Times New Roman"/>
          <w:sz w:val="24"/>
          <w:szCs w:val="24"/>
          <w:lang w:val="en-US"/>
        </w:rPr>
        <w:t xml:space="preserve"> </w:t>
      </w:r>
      <w:r w:rsidRPr="005A255B">
        <w:rPr>
          <w:rFonts w:ascii="Times New Roman" w:eastAsia="Calibri" w:hAnsi="Times New Roman" w:cs="Times New Roman"/>
          <w:sz w:val="24"/>
          <w:szCs w:val="24"/>
          <w:lang w:val="en-US"/>
        </w:rPr>
        <w:t>the accounting</w:t>
      </w:r>
      <w:r>
        <w:rPr>
          <w:rFonts w:ascii="Times New Roman" w:eastAsia="Calibri" w:hAnsi="Times New Roman" w:cs="Times New Roman"/>
          <w:sz w:val="24"/>
          <w:szCs w:val="24"/>
          <w:lang w:val="en-US"/>
        </w:rPr>
        <w:t xml:space="preserve"> of </w:t>
      </w:r>
      <w:r w:rsidRPr="005A255B">
        <w:rPr>
          <w:rFonts w:ascii="Times New Roman" w:eastAsia="Calibri" w:hAnsi="Times New Roman" w:cs="Times New Roman"/>
          <w:sz w:val="24"/>
          <w:szCs w:val="24"/>
          <w:lang w:val="en-US"/>
        </w:rPr>
        <w:t xml:space="preserve"> CCP trades and settlements in the markets of the Moscow Exchange was further development of the Central counterparty System (hereinafter the CCS). Here, the most significant project was a project combining technologies of processing CCP trades on all the market of the Moscow Exchange on the basis of the CCS</w:t>
      </w:r>
      <w:r w:rsidRPr="00BD6C7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Technology</w:t>
      </w:r>
      <w:r w:rsidRPr="005A255B">
        <w:rPr>
          <w:rFonts w:ascii="Times New Roman" w:eastAsia="Calibri" w:hAnsi="Times New Roman" w:cs="Times New Roman"/>
          <w:sz w:val="24"/>
          <w:szCs w:val="24"/>
          <w:lang w:val="en-US"/>
        </w:rPr>
        <w:t xml:space="preserve">. Processed until 2013 </w:t>
      </w:r>
      <w:proofErr w:type="gramStart"/>
      <w:r w:rsidRPr="005A255B">
        <w:rPr>
          <w:rFonts w:ascii="Times New Roman" w:eastAsia="Calibri" w:hAnsi="Times New Roman" w:cs="Times New Roman"/>
          <w:sz w:val="24"/>
          <w:szCs w:val="24"/>
          <w:lang w:val="en-US"/>
        </w:rPr>
        <w:t>on</w:t>
      </w:r>
      <w:r w:rsidR="00F55433">
        <w:rPr>
          <w:rFonts w:ascii="Times New Roman" w:eastAsia="Calibri" w:hAnsi="Times New Roman" w:cs="Times New Roman"/>
          <w:sz w:val="24"/>
          <w:szCs w:val="24"/>
          <w:lang w:val="en-US"/>
        </w:rPr>
        <w:t xml:space="preserve"> </w:t>
      </w:r>
      <w:r w:rsidRPr="005A255B">
        <w:rPr>
          <w:rFonts w:ascii="Times New Roman" w:eastAsia="Calibri" w:hAnsi="Times New Roman" w:cs="Times New Roman"/>
          <w:sz w:val="24"/>
          <w:szCs w:val="24"/>
          <w:lang w:val="en-US"/>
        </w:rPr>
        <w:t xml:space="preserve"> </w:t>
      </w:r>
      <w:r w:rsidR="00F55433">
        <w:rPr>
          <w:rFonts w:ascii="Times New Roman" w:eastAsia="Calibri" w:hAnsi="Times New Roman" w:cs="Times New Roman"/>
          <w:sz w:val="24"/>
          <w:szCs w:val="24"/>
          <w:lang w:val="en-US"/>
        </w:rPr>
        <w:t>the</w:t>
      </w:r>
      <w:proofErr w:type="gramEnd"/>
      <w:r w:rsidR="00F55433">
        <w:rPr>
          <w:rFonts w:ascii="Times New Roman" w:eastAsia="Calibri" w:hAnsi="Times New Roman" w:cs="Times New Roman"/>
          <w:sz w:val="24"/>
          <w:szCs w:val="24"/>
          <w:lang w:val="en-US"/>
        </w:rPr>
        <w:t xml:space="preserve"> </w:t>
      </w:r>
      <w:r w:rsidRPr="005A255B">
        <w:rPr>
          <w:rFonts w:ascii="Times New Roman" w:eastAsia="Calibri" w:hAnsi="Times New Roman" w:cs="Times New Roman"/>
          <w:sz w:val="24"/>
          <w:szCs w:val="24"/>
          <w:lang w:val="en-US"/>
        </w:rPr>
        <w:t xml:space="preserve">old technology </w:t>
      </w:r>
      <w:r w:rsidR="00F55433">
        <w:rPr>
          <w:rFonts w:ascii="Times New Roman" w:eastAsia="Calibri" w:hAnsi="Times New Roman" w:cs="Times New Roman"/>
          <w:sz w:val="24"/>
          <w:szCs w:val="24"/>
          <w:lang w:val="en-US"/>
        </w:rPr>
        <w:t>,</w:t>
      </w:r>
      <w:r w:rsidRPr="005A255B">
        <w:rPr>
          <w:rFonts w:ascii="Times New Roman" w:eastAsia="Calibri" w:hAnsi="Times New Roman" w:cs="Times New Roman"/>
          <w:sz w:val="24"/>
          <w:szCs w:val="24"/>
          <w:lang w:val="en-US"/>
        </w:rPr>
        <w:t xml:space="preserve">CCP trades on the </w:t>
      </w:r>
      <w:r>
        <w:rPr>
          <w:rFonts w:ascii="Times New Roman" w:eastAsia="Calibri" w:hAnsi="Times New Roman" w:cs="Times New Roman"/>
          <w:sz w:val="24"/>
          <w:szCs w:val="24"/>
          <w:lang w:val="en-US"/>
        </w:rPr>
        <w:t>FX</w:t>
      </w:r>
      <w:r w:rsidRPr="005A255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M</w:t>
      </w:r>
      <w:r w:rsidRPr="005A255B">
        <w:rPr>
          <w:rFonts w:ascii="Times New Roman" w:eastAsia="Calibri" w:hAnsi="Times New Roman" w:cs="Times New Roman"/>
          <w:sz w:val="24"/>
          <w:szCs w:val="24"/>
          <w:lang w:val="en-US"/>
        </w:rPr>
        <w:t>arket were transferred to the new system of the CCS. Thus, by the end of 2013, in NCC</w:t>
      </w:r>
      <w:r w:rsidRPr="00DE3895">
        <w:rPr>
          <w:rFonts w:ascii="Times New Roman" w:eastAsia="Calibri" w:hAnsi="Times New Roman" w:cs="Times New Roman"/>
          <w:sz w:val="24"/>
          <w:szCs w:val="24"/>
          <w:lang w:val="en-US"/>
        </w:rPr>
        <w:t xml:space="preserve"> </w:t>
      </w:r>
      <w:r w:rsidRPr="005A255B">
        <w:rPr>
          <w:rFonts w:ascii="Times New Roman" w:eastAsia="Calibri" w:hAnsi="Times New Roman" w:cs="Times New Roman"/>
          <w:sz w:val="24"/>
          <w:szCs w:val="24"/>
          <w:lang w:val="en-US"/>
        </w:rPr>
        <w:t xml:space="preserve">the unified </w:t>
      </w:r>
      <w:r>
        <w:rPr>
          <w:rFonts w:ascii="Times New Roman" w:eastAsia="Calibri" w:hAnsi="Times New Roman" w:cs="Times New Roman"/>
          <w:sz w:val="24"/>
          <w:szCs w:val="24"/>
          <w:lang w:val="en-US"/>
        </w:rPr>
        <w:t>IT Technology</w:t>
      </w:r>
      <w:r w:rsidRPr="005A255B">
        <w:rPr>
          <w:rFonts w:ascii="Times New Roman" w:eastAsia="Calibri" w:hAnsi="Times New Roman" w:cs="Times New Roman"/>
          <w:sz w:val="24"/>
          <w:szCs w:val="24"/>
          <w:lang w:val="en-US"/>
        </w:rPr>
        <w:t xml:space="preserve"> of processing of the CCP trades</w:t>
      </w:r>
      <w:r>
        <w:rPr>
          <w:rFonts w:ascii="Times New Roman" w:eastAsia="Calibri" w:hAnsi="Times New Roman" w:cs="Times New Roman"/>
          <w:sz w:val="24"/>
          <w:szCs w:val="24"/>
          <w:lang w:val="en-US"/>
        </w:rPr>
        <w:t xml:space="preserve"> was</w:t>
      </w:r>
      <w:r w:rsidRPr="005A255B">
        <w:rPr>
          <w:rFonts w:ascii="Times New Roman" w:eastAsia="Calibri" w:hAnsi="Times New Roman" w:cs="Times New Roman"/>
          <w:sz w:val="24"/>
          <w:szCs w:val="24"/>
          <w:lang w:val="en-US"/>
        </w:rPr>
        <w:t xml:space="preserve"> developed. Simultaneously, the updating of the System of settlements on </w:t>
      </w:r>
      <w:r>
        <w:rPr>
          <w:rFonts w:ascii="Times New Roman" w:eastAsia="Calibri" w:hAnsi="Times New Roman" w:cs="Times New Roman"/>
          <w:sz w:val="24"/>
          <w:szCs w:val="24"/>
          <w:lang w:val="en-US"/>
        </w:rPr>
        <w:t>the FX Market</w:t>
      </w:r>
      <w:r w:rsidRPr="005A255B">
        <w:rPr>
          <w:rFonts w:ascii="Times New Roman" w:eastAsia="Calibri" w:hAnsi="Times New Roman" w:cs="Times New Roman"/>
          <w:sz w:val="24"/>
          <w:szCs w:val="24"/>
          <w:lang w:val="en-US"/>
        </w:rPr>
        <w:t xml:space="preserve"> in accordance with user</w:t>
      </w:r>
      <w:r>
        <w:rPr>
          <w:rFonts w:ascii="Times New Roman" w:eastAsia="Calibri" w:hAnsi="Times New Roman" w:cs="Times New Roman"/>
          <w:sz w:val="24"/>
          <w:szCs w:val="24"/>
          <w:lang w:val="en-US"/>
        </w:rPr>
        <w:t>s’</w:t>
      </w:r>
      <w:r w:rsidRPr="005A255B">
        <w:rPr>
          <w:rFonts w:ascii="Times New Roman" w:eastAsia="Calibri" w:hAnsi="Times New Roman" w:cs="Times New Roman"/>
          <w:sz w:val="24"/>
          <w:szCs w:val="24"/>
          <w:lang w:val="en-US"/>
        </w:rPr>
        <w:t xml:space="preserve"> requests and requirements of the legislation </w:t>
      </w:r>
      <w:r>
        <w:rPr>
          <w:rFonts w:ascii="Times New Roman" w:eastAsia="Calibri" w:hAnsi="Times New Roman" w:cs="Times New Roman"/>
          <w:sz w:val="24"/>
          <w:szCs w:val="24"/>
          <w:lang w:val="en-US"/>
        </w:rPr>
        <w:t xml:space="preserve">were </w:t>
      </w:r>
      <w:r w:rsidRPr="005A255B">
        <w:rPr>
          <w:rFonts w:ascii="Times New Roman" w:eastAsia="Calibri" w:hAnsi="Times New Roman" w:cs="Times New Roman"/>
          <w:sz w:val="24"/>
          <w:szCs w:val="24"/>
          <w:lang w:val="en-US"/>
        </w:rPr>
        <w:t>be</w:t>
      </w:r>
      <w:r>
        <w:rPr>
          <w:rFonts w:ascii="Times New Roman" w:eastAsia="Calibri" w:hAnsi="Times New Roman" w:cs="Times New Roman"/>
          <w:sz w:val="24"/>
          <w:szCs w:val="24"/>
          <w:lang w:val="en-US"/>
        </w:rPr>
        <w:t>ing</w:t>
      </w:r>
      <w:r w:rsidRPr="005A255B">
        <w:rPr>
          <w:rFonts w:ascii="Times New Roman" w:eastAsia="Calibri" w:hAnsi="Times New Roman" w:cs="Times New Roman"/>
          <w:sz w:val="24"/>
          <w:szCs w:val="24"/>
          <w:lang w:val="en-US"/>
        </w:rPr>
        <w:t xml:space="preserve"> continu</w:t>
      </w:r>
      <w:r>
        <w:rPr>
          <w:rFonts w:ascii="Times New Roman" w:eastAsia="Calibri" w:hAnsi="Times New Roman" w:cs="Times New Roman"/>
          <w:sz w:val="24"/>
          <w:szCs w:val="24"/>
          <w:lang w:val="en-US"/>
        </w:rPr>
        <w:t>ed</w:t>
      </w:r>
      <w:r w:rsidRPr="005A255B">
        <w:rPr>
          <w:rFonts w:ascii="Times New Roman" w:eastAsia="Calibri" w:hAnsi="Times New Roman" w:cs="Times New Roman"/>
          <w:sz w:val="24"/>
          <w:szCs w:val="24"/>
          <w:lang w:val="en-US"/>
        </w:rPr>
        <w:t>. During the reporting period, 126 system updates were tested and installed.</w:t>
      </w:r>
    </w:p>
    <w:p w:rsidR="00D55472" w:rsidRPr="005A255B" w:rsidRDefault="00D55472" w:rsidP="00D55472">
      <w:pPr>
        <w:autoSpaceDN w:val="0"/>
        <w:spacing w:after="120" w:line="240" w:lineRule="auto"/>
        <w:ind w:firstLine="567"/>
        <w:jc w:val="both"/>
        <w:rPr>
          <w:rFonts w:ascii="Times New Roman" w:eastAsia="Calibri" w:hAnsi="Times New Roman" w:cs="Times New Roman"/>
          <w:sz w:val="24"/>
          <w:szCs w:val="24"/>
          <w:lang w:val="en-US"/>
        </w:rPr>
      </w:pPr>
    </w:p>
    <w:p w:rsidR="00D55472" w:rsidRPr="005A255B" w:rsidRDefault="00D55472" w:rsidP="00D55472">
      <w:pPr>
        <w:autoSpaceDN w:val="0"/>
        <w:spacing w:after="120" w:line="240" w:lineRule="auto"/>
        <w:ind w:left="142" w:firstLine="567"/>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In the framework  </w:t>
      </w:r>
      <w:r w:rsidRPr="005A255B">
        <w:rPr>
          <w:rFonts w:ascii="Times New Roman" w:eastAsia="Calibri" w:hAnsi="Times New Roman" w:cs="Times New Roman"/>
          <w:sz w:val="24"/>
          <w:szCs w:val="24"/>
          <w:lang w:val="en-US"/>
        </w:rPr>
        <w:t xml:space="preserve"> of</w:t>
      </w:r>
      <w:r>
        <w:rPr>
          <w:rFonts w:ascii="Times New Roman" w:eastAsia="Calibri" w:hAnsi="Times New Roman" w:cs="Times New Roman"/>
          <w:sz w:val="24"/>
          <w:szCs w:val="24"/>
          <w:lang w:val="en-US"/>
        </w:rPr>
        <w:t xml:space="preserve"> developing of</w:t>
      </w:r>
      <w:r w:rsidRPr="005A255B">
        <w:rPr>
          <w:rFonts w:ascii="Times New Roman" w:eastAsia="Calibri" w:hAnsi="Times New Roman" w:cs="Times New Roman"/>
          <w:sz w:val="24"/>
          <w:szCs w:val="24"/>
          <w:lang w:val="en-US"/>
        </w:rPr>
        <w:t xml:space="preserve"> </w:t>
      </w:r>
      <w:r w:rsidRPr="00B44D16">
        <w:rPr>
          <w:rFonts w:ascii="Times New Roman" w:eastAsia="Calibri" w:hAnsi="Times New Roman" w:cs="Times New Roman"/>
          <w:sz w:val="24"/>
          <w:szCs w:val="24"/>
          <w:lang w:val="en-US"/>
        </w:rPr>
        <w:t>core banking system - IBS "Centaurus Omega"</w:t>
      </w:r>
      <w:r>
        <w:rPr>
          <w:rFonts w:ascii="Times New Roman" w:eastAsia="Calibri" w:hAnsi="Times New Roman" w:cs="Times New Roman"/>
          <w:sz w:val="24"/>
          <w:szCs w:val="24"/>
          <w:lang w:val="en-US"/>
        </w:rPr>
        <w:t xml:space="preserve"> the following</w:t>
      </w:r>
      <w:r w:rsidRPr="005A255B">
        <w:rPr>
          <w:rFonts w:ascii="Times New Roman" w:eastAsia="Calibri" w:hAnsi="Times New Roman" w:cs="Times New Roman"/>
          <w:sz w:val="24"/>
          <w:szCs w:val="24"/>
          <w:lang w:val="en-US"/>
        </w:rPr>
        <w:t xml:space="preserve"> w</w:t>
      </w:r>
      <w:r>
        <w:rPr>
          <w:rFonts w:ascii="Times New Roman" w:eastAsia="Calibri" w:hAnsi="Times New Roman" w:cs="Times New Roman"/>
          <w:sz w:val="24"/>
          <w:szCs w:val="24"/>
          <w:lang w:val="en-US"/>
        </w:rPr>
        <w:t>as introduced</w:t>
      </w:r>
      <w:r w:rsidRPr="005A255B">
        <w:rPr>
          <w:rFonts w:ascii="Times New Roman" w:eastAsia="Calibri" w:hAnsi="Times New Roman" w:cs="Times New Roman"/>
          <w:sz w:val="24"/>
          <w:szCs w:val="24"/>
          <w:lang w:val="en-US"/>
        </w:rPr>
        <w:t>:</w:t>
      </w:r>
    </w:p>
    <w:p w:rsidR="00D55472" w:rsidRPr="00FB2750" w:rsidRDefault="00D55472" w:rsidP="00472CA4">
      <w:pPr>
        <w:pStyle w:val="af0"/>
        <w:numPr>
          <w:ilvl w:val="0"/>
          <w:numId w:val="54"/>
        </w:numPr>
        <w:autoSpaceDN w:val="0"/>
        <w:spacing w:after="120" w:line="240" w:lineRule="auto"/>
        <w:jc w:val="both"/>
        <w:rPr>
          <w:rFonts w:ascii="Times New Roman" w:eastAsia="Calibri" w:hAnsi="Times New Roman" w:cs="Times New Roman"/>
          <w:sz w:val="24"/>
          <w:szCs w:val="24"/>
          <w:lang w:val="en-US"/>
        </w:rPr>
      </w:pPr>
      <w:r w:rsidRPr="00FB2750">
        <w:rPr>
          <w:rFonts w:ascii="Times New Roman" w:eastAsia="Calibri" w:hAnsi="Times New Roman" w:cs="Times New Roman"/>
          <w:sz w:val="24"/>
          <w:szCs w:val="24"/>
          <w:lang w:val="en-US"/>
        </w:rPr>
        <w:t>Accounting of trades Loco swap and Financial SWAP with precious metals</w:t>
      </w:r>
      <w:r w:rsidR="00F55433">
        <w:rPr>
          <w:rFonts w:ascii="Times New Roman" w:eastAsia="Calibri" w:hAnsi="Times New Roman" w:cs="Times New Roman"/>
          <w:sz w:val="24"/>
          <w:szCs w:val="24"/>
          <w:lang w:val="en-US"/>
        </w:rPr>
        <w:t>.</w:t>
      </w:r>
    </w:p>
    <w:p w:rsidR="00D55472" w:rsidRPr="00FB2750" w:rsidRDefault="00D55472" w:rsidP="00472CA4">
      <w:pPr>
        <w:pStyle w:val="af0"/>
        <w:numPr>
          <w:ilvl w:val="0"/>
          <w:numId w:val="54"/>
        </w:numPr>
        <w:autoSpaceDN w:val="0"/>
        <w:spacing w:after="120" w:line="240" w:lineRule="auto"/>
        <w:jc w:val="both"/>
        <w:rPr>
          <w:rFonts w:ascii="Times New Roman" w:eastAsia="Calibri" w:hAnsi="Times New Roman" w:cs="Times New Roman"/>
          <w:sz w:val="24"/>
          <w:szCs w:val="24"/>
          <w:lang w:val="en-US"/>
        </w:rPr>
      </w:pPr>
      <w:r w:rsidRPr="00FB2750">
        <w:rPr>
          <w:rFonts w:ascii="Times New Roman" w:eastAsia="Calibri" w:hAnsi="Times New Roman" w:cs="Times New Roman"/>
          <w:sz w:val="24"/>
          <w:szCs w:val="24"/>
          <w:lang w:val="en-US"/>
        </w:rPr>
        <w:t>SWIFT for precious metals</w:t>
      </w:r>
      <w:r w:rsidR="00FB2750">
        <w:rPr>
          <w:rFonts w:ascii="Times New Roman" w:eastAsia="Calibri" w:hAnsi="Times New Roman" w:cs="Times New Roman"/>
          <w:sz w:val="24"/>
          <w:szCs w:val="24"/>
        </w:rPr>
        <w:t>.</w:t>
      </w:r>
    </w:p>
    <w:p w:rsidR="00D55472" w:rsidRPr="00FB2750" w:rsidRDefault="00D55472" w:rsidP="00472CA4">
      <w:pPr>
        <w:pStyle w:val="af0"/>
        <w:numPr>
          <w:ilvl w:val="0"/>
          <w:numId w:val="54"/>
        </w:numPr>
        <w:autoSpaceDN w:val="0"/>
        <w:spacing w:after="120" w:line="240" w:lineRule="auto"/>
        <w:jc w:val="both"/>
        <w:rPr>
          <w:rFonts w:ascii="Times New Roman" w:eastAsia="Calibri" w:hAnsi="Times New Roman" w:cs="Times New Roman"/>
          <w:sz w:val="24"/>
          <w:szCs w:val="24"/>
          <w:lang w:val="en-US"/>
        </w:rPr>
      </w:pPr>
      <w:r w:rsidRPr="00FB2750">
        <w:rPr>
          <w:rFonts w:ascii="Times New Roman" w:eastAsia="Calibri" w:hAnsi="Times New Roman" w:cs="Times New Roman"/>
          <w:sz w:val="24"/>
          <w:szCs w:val="24"/>
          <w:lang w:val="en-US"/>
        </w:rPr>
        <w:t>Accounting of R</w:t>
      </w:r>
      <w:r w:rsidR="00F55433">
        <w:rPr>
          <w:rFonts w:ascii="Times New Roman" w:eastAsia="Calibri" w:hAnsi="Times New Roman" w:cs="Times New Roman"/>
          <w:sz w:val="24"/>
          <w:szCs w:val="24"/>
          <w:lang w:val="en-US"/>
        </w:rPr>
        <w:t>EPO</w:t>
      </w:r>
      <w:r w:rsidRPr="00FB2750">
        <w:rPr>
          <w:rFonts w:ascii="Times New Roman" w:eastAsia="Calibri" w:hAnsi="Times New Roman" w:cs="Times New Roman"/>
          <w:sz w:val="24"/>
          <w:szCs w:val="24"/>
          <w:lang w:val="en-US"/>
        </w:rPr>
        <w:t xml:space="preserve"> trades without recognition in the OTC market</w:t>
      </w:r>
      <w:r w:rsidR="00FB2750" w:rsidRPr="00FB2750">
        <w:rPr>
          <w:rFonts w:ascii="Times New Roman" w:eastAsia="Calibri" w:hAnsi="Times New Roman" w:cs="Times New Roman"/>
          <w:sz w:val="24"/>
          <w:szCs w:val="24"/>
          <w:lang w:val="en-US"/>
        </w:rPr>
        <w:t>.</w:t>
      </w:r>
    </w:p>
    <w:p w:rsidR="00D55472" w:rsidRPr="00FB2750" w:rsidRDefault="00D55472" w:rsidP="00472CA4">
      <w:pPr>
        <w:pStyle w:val="af0"/>
        <w:numPr>
          <w:ilvl w:val="0"/>
          <w:numId w:val="54"/>
        </w:numPr>
        <w:autoSpaceDN w:val="0"/>
        <w:spacing w:after="120" w:line="240" w:lineRule="auto"/>
        <w:jc w:val="both"/>
        <w:rPr>
          <w:rFonts w:ascii="Times New Roman" w:eastAsia="Calibri" w:hAnsi="Times New Roman" w:cs="Times New Roman"/>
          <w:sz w:val="24"/>
          <w:szCs w:val="24"/>
          <w:lang w:val="en-US"/>
        </w:rPr>
      </w:pPr>
      <w:r w:rsidRPr="00FB2750">
        <w:rPr>
          <w:rFonts w:ascii="Times New Roman" w:eastAsia="Calibri" w:hAnsi="Times New Roman" w:cs="Times New Roman"/>
          <w:sz w:val="24"/>
          <w:szCs w:val="24"/>
          <w:lang w:val="en-US"/>
        </w:rPr>
        <w:t xml:space="preserve">Accounting for </w:t>
      </w:r>
      <w:r w:rsidR="00F55433">
        <w:rPr>
          <w:rFonts w:ascii="Times New Roman" w:eastAsia="Calibri" w:hAnsi="Times New Roman" w:cs="Times New Roman"/>
          <w:sz w:val="24"/>
          <w:szCs w:val="24"/>
          <w:lang w:val="en-US"/>
        </w:rPr>
        <w:t>s</w:t>
      </w:r>
      <w:hyperlink r:id="rId37" w:tooltip="Standardised OTC derivatives market" w:history="1">
        <w:r w:rsidR="00DA0D0B">
          <w:rPr>
            <w:rFonts w:ascii="Times New Roman" w:eastAsia="Calibri" w:hAnsi="Times New Roman" w:cs="Times New Roman"/>
            <w:sz w:val="24"/>
            <w:szCs w:val="24"/>
            <w:lang w:val="en-US"/>
          </w:rPr>
          <w:t xml:space="preserve">tandardized </w:t>
        </w:r>
        <w:r w:rsidRPr="00FB2750">
          <w:rPr>
            <w:rFonts w:ascii="Times New Roman" w:eastAsia="Calibri" w:hAnsi="Times New Roman" w:cs="Times New Roman"/>
            <w:sz w:val="24"/>
            <w:szCs w:val="24"/>
            <w:lang w:val="en-US"/>
          </w:rPr>
          <w:t>DI market</w:t>
        </w:r>
      </w:hyperlink>
      <w:r w:rsidR="00FB2750" w:rsidRPr="00FB2750">
        <w:rPr>
          <w:rFonts w:ascii="Times New Roman" w:eastAsia="Calibri" w:hAnsi="Times New Roman" w:cs="Times New Roman"/>
          <w:sz w:val="24"/>
          <w:szCs w:val="24"/>
          <w:lang w:val="en-US"/>
        </w:rPr>
        <w:t>.</w:t>
      </w:r>
    </w:p>
    <w:p w:rsidR="00D55472" w:rsidRPr="00FB2750" w:rsidRDefault="00D55472" w:rsidP="00472CA4">
      <w:pPr>
        <w:pStyle w:val="af0"/>
        <w:numPr>
          <w:ilvl w:val="0"/>
          <w:numId w:val="54"/>
        </w:numPr>
        <w:autoSpaceDN w:val="0"/>
        <w:spacing w:after="120" w:line="240" w:lineRule="auto"/>
        <w:jc w:val="both"/>
        <w:rPr>
          <w:rFonts w:ascii="Times New Roman" w:eastAsia="Calibri" w:hAnsi="Times New Roman" w:cs="Times New Roman"/>
          <w:sz w:val="24"/>
          <w:szCs w:val="24"/>
          <w:lang w:val="en-US"/>
        </w:rPr>
      </w:pPr>
      <w:r w:rsidRPr="00FB2750">
        <w:rPr>
          <w:rFonts w:ascii="Times New Roman" w:eastAsia="Calibri" w:hAnsi="Times New Roman" w:cs="Times New Roman"/>
          <w:sz w:val="24"/>
          <w:szCs w:val="24"/>
          <w:lang w:val="en-US"/>
        </w:rPr>
        <w:t xml:space="preserve">Formation </w:t>
      </w:r>
      <w:r w:rsidR="00F55433">
        <w:rPr>
          <w:rFonts w:ascii="Times New Roman" w:eastAsia="Calibri" w:hAnsi="Times New Roman" w:cs="Times New Roman"/>
          <w:sz w:val="24"/>
          <w:szCs w:val="24"/>
          <w:lang w:val="en-US"/>
        </w:rPr>
        <w:t xml:space="preserve">of </w:t>
      </w:r>
      <w:r w:rsidRPr="00FB2750">
        <w:rPr>
          <w:rFonts w:ascii="Times New Roman" w:eastAsia="Calibri" w:hAnsi="Times New Roman" w:cs="Times New Roman"/>
          <w:sz w:val="24"/>
          <w:szCs w:val="24"/>
          <w:lang w:val="en-US"/>
        </w:rPr>
        <w:t>tax registers on reverse REPO trades and trades on currency revaluation and currency securities</w:t>
      </w:r>
      <w:r w:rsidR="00FB2750" w:rsidRPr="00FB2750">
        <w:rPr>
          <w:rFonts w:ascii="Times New Roman" w:eastAsia="Calibri" w:hAnsi="Times New Roman" w:cs="Times New Roman"/>
          <w:sz w:val="24"/>
          <w:szCs w:val="24"/>
          <w:lang w:val="en-US"/>
        </w:rPr>
        <w:t>.</w:t>
      </w:r>
    </w:p>
    <w:p w:rsidR="00D55472" w:rsidRPr="00FB2750" w:rsidRDefault="00D55472" w:rsidP="00472CA4">
      <w:pPr>
        <w:pStyle w:val="af0"/>
        <w:numPr>
          <w:ilvl w:val="0"/>
          <w:numId w:val="54"/>
        </w:numPr>
        <w:autoSpaceDN w:val="0"/>
        <w:spacing w:after="120" w:line="240" w:lineRule="auto"/>
        <w:jc w:val="both"/>
        <w:rPr>
          <w:rFonts w:ascii="Times New Roman" w:eastAsia="Calibri" w:hAnsi="Times New Roman" w:cs="Times New Roman"/>
          <w:sz w:val="24"/>
          <w:szCs w:val="24"/>
          <w:lang w:val="en-US"/>
        </w:rPr>
      </w:pPr>
      <w:r w:rsidRPr="00FB2750">
        <w:rPr>
          <w:rFonts w:ascii="Times New Roman" w:eastAsia="Calibri" w:hAnsi="Times New Roman" w:cs="Times New Roman"/>
          <w:sz w:val="24"/>
          <w:szCs w:val="24"/>
          <w:lang w:val="en-US"/>
        </w:rPr>
        <w:t>Upgrad</w:t>
      </w:r>
      <w:r w:rsidR="00F55433">
        <w:rPr>
          <w:rFonts w:ascii="Times New Roman" w:eastAsia="Calibri" w:hAnsi="Times New Roman" w:cs="Times New Roman"/>
          <w:sz w:val="24"/>
          <w:szCs w:val="24"/>
          <w:lang w:val="en-US"/>
        </w:rPr>
        <w:t xml:space="preserve">ing </w:t>
      </w:r>
      <w:r w:rsidRPr="00FB2750">
        <w:rPr>
          <w:rFonts w:ascii="Times New Roman" w:eastAsia="Calibri" w:hAnsi="Times New Roman" w:cs="Times New Roman"/>
          <w:sz w:val="24"/>
          <w:szCs w:val="24"/>
          <w:lang w:val="en-US"/>
        </w:rPr>
        <w:t xml:space="preserve">of Management of Reserves module in </w:t>
      </w:r>
      <w:r w:rsidRPr="00FB2750">
        <w:rPr>
          <w:rFonts w:ascii="Times New Roman" w:eastAsia="Calibri" w:hAnsi="Times New Roman" w:cs="Times New Roman"/>
          <w:sz w:val="24"/>
          <w:szCs w:val="24"/>
        </w:rPr>
        <w:t>а</w:t>
      </w:r>
      <w:r w:rsidRPr="00FB2750">
        <w:rPr>
          <w:rFonts w:ascii="Times New Roman" w:eastAsia="Calibri" w:hAnsi="Times New Roman" w:cs="Times New Roman"/>
          <w:sz w:val="24"/>
          <w:szCs w:val="24"/>
          <w:lang w:val="en-US"/>
        </w:rPr>
        <w:t xml:space="preserve"> part of the automated calculation of the quality category of counterparties</w:t>
      </w:r>
      <w:r w:rsidR="00FB2750" w:rsidRPr="00FB2750">
        <w:rPr>
          <w:rFonts w:ascii="Times New Roman" w:eastAsia="Calibri" w:hAnsi="Times New Roman" w:cs="Times New Roman"/>
          <w:sz w:val="24"/>
          <w:szCs w:val="24"/>
          <w:lang w:val="en-US"/>
        </w:rPr>
        <w:t>.</w:t>
      </w:r>
    </w:p>
    <w:p w:rsidR="00D55472" w:rsidRPr="00FB2750" w:rsidRDefault="00D55472" w:rsidP="00472CA4">
      <w:pPr>
        <w:pStyle w:val="af0"/>
        <w:numPr>
          <w:ilvl w:val="0"/>
          <w:numId w:val="54"/>
        </w:numPr>
        <w:autoSpaceDN w:val="0"/>
        <w:spacing w:after="120" w:line="240" w:lineRule="auto"/>
        <w:jc w:val="both"/>
        <w:rPr>
          <w:rFonts w:ascii="Times New Roman" w:eastAsia="Calibri" w:hAnsi="Times New Roman" w:cs="Times New Roman"/>
          <w:sz w:val="24"/>
          <w:szCs w:val="24"/>
          <w:lang w:val="en-US"/>
        </w:rPr>
      </w:pPr>
      <w:r w:rsidRPr="00FB2750">
        <w:rPr>
          <w:rFonts w:ascii="Times New Roman" w:eastAsia="Calibri" w:hAnsi="Times New Roman" w:cs="Times New Roman"/>
          <w:sz w:val="24"/>
          <w:szCs w:val="24"/>
          <w:lang w:val="en-US"/>
        </w:rPr>
        <w:t xml:space="preserve">Accounting of clearing trades of Saint-Petersburg Exchange with GAZPROM </w:t>
      </w:r>
      <w:proofErr w:type="spellStart"/>
      <w:r w:rsidRPr="00FB2750">
        <w:rPr>
          <w:rFonts w:ascii="Times New Roman" w:eastAsia="Calibri" w:hAnsi="Times New Roman" w:cs="Times New Roman"/>
          <w:sz w:val="24"/>
          <w:szCs w:val="24"/>
          <w:lang w:val="en-US"/>
        </w:rPr>
        <w:t>rouble</w:t>
      </w:r>
      <w:proofErr w:type="spellEnd"/>
      <w:r w:rsidRPr="00FB2750">
        <w:rPr>
          <w:rFonts w:ascii="Times New Roman" w:eastAsia="Calibri" w:hAnsi="Times New Roman" w:cs="Times New Roman"/>
          <w:sz w:val="24"/>
          <w:szCs w:val="24"/>
          <w:lang w:val="en-US"/>
        </w:rPr>
        <w:t xml:space="preserve"> shares</w:t>
      </w:r>
      <w:r w:rsidR="00FB2750" w:rsidRPr="00FB2750">
        <w:rPr>
          <w:rFonts w:ascii="Times New Roman" w:eastAsia="Calibri" w:hAnsi="Times New Roman" w:cs="Times New Roman"/>
          <w:sz w:val="24"/>
          <w:szCs w:val="24"/>
          <w:lang w:val="en-US"/>
        </w:rPr>
        <w:t>.</w:t>
      </w:r>
    </w:p>
    <w:p w:rsidR="00D55472" w:rsidRPr="00FB2750" w:rsidRDefault="00D55472" w:rsidP="00472CA4">
      <w:pPr>
        <w:pStyle w:val="af0"/>
        <w:numPr>
          <w:ilvl w:val="0"/>
          <w:numId w:val="54"/>
        </w:numPr>
        <w:autoSpaceDN w:val="0"/>
        <w:spacing w:after="120" w:line="240" w:lineRule="auto"/>
        <w:jc w:val="both"/>
        <w:rPr>
          <w:rFonts w:ascii="Times New Roman" w:eastAsia="Calibri" w:hAnsi="Times New Roman" w:cs="Times New Roman"/>
          <w:sz w:val="24"/>
          <w:szCs w:val="24"/>
          <w:lang w:val="en-US"/>
        </w:rPr>
      </w:pPr>
      <w:r w:rsidRPr="00FB2750">
        <w:rPr>
          <w:rFonts w:ascii="Times New Roman" w:eastAsia="Calibri" w:hAnsi="Times New Roman" w:cs="Times New Roman"/>
          <w:sz w:val="24"/>
          <w:szCs w:val="24"/>
          <w:lang w:val="en-US"/>
        </w:rPr>
        <w:t>Ability to create and send messages (</w:t>
      </w:r>
      <w:proofErr w:type="spellStart"/>
      <w:r w:rsidRPr="00FB2750">
        <w:rPr>
          <w:rFonts w:ascii="Times New Roman" w:eastAsia="Calibri" w:hAnsi="Times New Roman" w:cs="Times New Roman"/>
          <w:sz w:val="24"/>
          <w:szCs w:val="24"/>
          <w:lang w:val="en-US"/>
        </w:rPr>
        <w:t>FpML</w:t>
      </w:r>
      <w:proofErr w:type="spellEnd"/>
      <w:r w:rsidRPr="00FB2750">
        <w:rPr>
          <w:rFonts w:ascii="Times New Roman" w:eastAsia="Calibri" w:hAnsi="Times New Roman" w:cs="Times New Roman"/>
          <w:sz w:val="24"/>
          <w:szCs w:val="24"/>
          <w:lang w:val="en-US"/>
        </w:rPr>
        <w:t xml:space="preserve"> formats for repository)</w:t>
      </w:r>
      <w:r w:rsidR="00FB2750" w:rsidRPr="00FB2750">
        <w:rPr>
          <w:rFonts w:ascii="Times New Roman" w:eastAsia="Calibri" w:hAnsi="Times New Roman" w:cs="Times New Roman"/>
          <w:sz w:val="24"/>
          <w:szCs w:val="24"/>
          <w:lang w:val="en-US"/>
        </w:rPr>
        <w:t>.</w:t>
      </w:r>
    </w:p>
    <w:p w:rsidR="00D55472" w:rsidRPr="00FB2750" w:rsidRDefault="00D55472" w:rsidP="00472CA4">
      <w:pPr>
        <w:pStyle w:val="af0"/>
        <w:numPr>
          <w:ilvl w:val="0"/>
          <w:numId w:val="54"/>
        </w:numPr>
        <w:autoSpaceDN w:val="0"/>
        <w:spacing w:after="120" w:line="240" w:lineRule="auto"/>
        <w:jc w:val="both"/>
        <w:rPr>
          <w:rFonts w:ascii="Times New Roman" w:eastAsia="Calibri" w:hAnsi="Times New Roman" w:cs="Times New Roman"/>
          <w:sz w:val="24"/>
          <w:szCs w:val="24"/>
          <w:lang w:val="en-US"/>
        </w:rPr>
      </w:pPr>
      <w:r w:rsidRPr="00FB2750">
        <w:rPr>
          <w:rFonts w:ascii="Times New Roman" w:eastAsia="Calibri" w:hAnsi="Times New Roman" w:cs="Times New Roman"/>
          <w:sz w:val="24"/>
          <w:szCs w:val="24"/>
          <w:lang w:val="en-US"/>
        </w:rPr>
        <w:t xml:space="preserve">386 updates IBS "Centaurus </w:t>
      </w:r>
      <w:proofErr w:type="spellStart"/>
      <w:r w:rsidRPr="00FB2750">
        <w:rPr>
          <w:rFonts w:ascii="Times New Roman" w:eastAsia="Calibri" w:hAnsi="Times New Roman" w:cs="Times New Roman"/>
          <w:sz w:val="24"/>
          <w:szCs w:val="24"/>
          <w:lang w:val="en-US"/>
        </w:rPr>
        <w:t>Omega"were</w:t>
      </w:r>
      <w:proofErr w:type="spellEnd"/>
      <w:r w:rsidRPr="00FB2750">
        <w:rPr>
          <w:rFonts w:ascii="Times New Roman" w:eastAsia="Calibri" w:hAnsi="Times New Roman" w:cs="Times New Roman"/>
          <w:sz w:val="24"/>
          <w:szCs w:val="24"/>
          <w:lang w:val="en-US"/>
        </w:rPr>
        <w:t xml:space="preserve"> established</w:t>
      </w:r>
      <w:r w:rsidR="00FB2750" w:rsidRPr="00FB2750">
        <w:rPr>
          <w:rFonts w:ascii="Times New Roman" w:eastAsia="Calibri" w:hAnsi="Times New Roman" w:cs="Times New Roman"/>
          <w:sz w:val="24"/>
          <w:szCs w:val="24"/>
          <w:lang w:val="en-US"/>
        </w:rPr>
        <w:t>.</w:t>
      </w:r>
    </w:p>
    <w:p w:rsidR="00D55472" w:rsidRPr="00FB2750" w:rsidRDefault="00D55472" w:rsidP="00472CA4">
      <w:pPr>
        <w:pStyle w:val="af0"/>
        <w:numPr>
          <w:ilvl w:val="0"/>
          <w:numId w:val="54"/>
        </w:numPr>
        <w:autoSpaceDN w:val="0"/>
        <w:spacing w:after="120" w:line="240" w:lineRule="auto"/>
        <w:jc w:val="both"/>
        <w:rPr>
          <w:rFonts w:ascii="Times New Roman" w:eastAsia="Calibri" w:hAnsi="Times New Roman" w:cs="Times New Roman"/>
          <w:sz w:val="24"/>
          <w:szCs w:val="24"/>
          <w:lang w:val="en-US"/>
        </w:rPr>
      </w:pPr>
      <w:r w:rsidRPr="00FB2750">
        <w:rPr>
          <w:rFonts w:ascii="Times New Roman" w:eastAsia="Calibri" w:hAnsi="Times New Roman" w:cs="Times New Roman"/>
          <w:sz w:val="24"/>
          <w:szCs w:val="24"/>
          <w:lang w:val="en-US"/>
        </w:rPr>
        <w:t xml:space="preserve">Amount of IBS "Centaurus </w:t>
      </w:r>
      <w:proofErr w:type="spellStart"/>
      <w:r w:rsidRPr="00FB2750">
        <w:rPr>
          <w:rFonts w:ascii="Times New Roman" w:eastAsia="Calibri" w:hAnsi="Times New Roman" w:cs="Times New Roman"/>
          <w:sz w:val="24"/>
          <w:szCs w:val="24"/>
          <w:lang w:val="en-US"/>
        </w:rPr>
        <w:t>Omega"users</w:t>
      </w:r>
      <w:proofErr w:type="spellEnd"/>
      <w:r w:rsidRPr="00FB2750">
        <w:rPr>
          <w:rFonts w:ascii="Times New Roman" w:eastAsia="Calibri" w:hAnsi="Times New Roman" w:cs="Times New Roman"/>
          <w:sz w:val="24"/>
          <w:szCs w:val="24"/>
          <w:lang w:val="en-US"/>
        </w:rPr>
        <w:t xml:space="preserve"> at the end of 2013 increased up to 152 members.</w:t>
      </w:r>
    </w:p>
    <w:p w:rsidR="00D55472" w:rsidRDefault="00D55472" w:rsidP="00D55472">
      <w:pPr>
        <w:autoSpaceDN w:val="0"/>
        <w:spacing w:after="120" w:line="240" w:lineRule="auto"/>
        <w:ind w:firstLine="567"/>
        <w:jc w:val="both"/>
        <w:rPr>
          <w:rFonts w:ascii="Times New Roman" w:eastAsia="Calibri" w:hAnsi="Times New Roman" w:cs="Times New Roman"/>
          <w:sz w:val="24"/>
          <w:szCs w:val="24"/>
          <w:lang w:val="en-US"/>
        </w:rPr>
      </w:pPr>
    </w:p>
    <w:p w:rsidR="00D55472" w:rsidRPr="005A255B" w:rsidRDefault="00D55472" w:rsidP="00D55472">
      <w:pPr>
        <w:autoSpaceDN w:val="0"/>
        <w:spacing w:after="120" w:line="240" w:lineRule="auto"/>
        <w:ind w:firstLine="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order t</w:t>
      </w:r>
      <w:r w:rsidRPr="005A255B">
        <w:rPr>
          <w:rFonts w:ascii="Times New Roman" w:eastAsia="Calibri" w:hAnsi="Times New Roman" w:cs="Times New Roman"/>
          <w:sz w:val="24"/>
          <w:szCs w:val="24"/>
          <w:lang w:val="en-US"/>
        </w:rPr>
        <w:t xml:space="preserve">o </w:t>
      </w:r>
      <w:r w:rsidRPr="000F7B68">
        <w:rPr>
          <w:rFonts w:ascii="Times New Roman" w:eastAsia="Calibri" w:hAnsi="Times New Roman" w:cs="Times New Roman"/>
          <w:sz w:val="24"/>
          <w:szCs w:val="24"/>
          <w:lang w:val="en-US"/>
        </w:rPr>
        <w:t>execute</w:t>
      </w:r>
      <w:r w:rsidRPr="005A255B">
        <w:rPr>
          <w:rFonts w:ascii="Times New Roman" w:eastAsia="Calibri" w:hAnsi="Times New Roman" w:cs="Times New Roman"/>
          <w:sz w:val="24"/>
          <w:szCs w:val="24"/>
          <w:lang w:val="en-US"/>
        </w:rPr>
        <w:t xml:space="preserve"> series of new regulatory requirements, the following activities were implemented</w:t>
      </w:r>
      <w:r>
        <w:rPr>
          <w:rFonts w:ascii="Times New Roman" w:eastAsia="Calibri" w:hAnsi="Times New Roman" w:cs="Times New Roman"/>
          <w:sz w:val="24"/>
          <w:szCs w:val="24"/>
          <w:lang w:val="en-US"/>
        </w:rPr>
        <w:t xml:space="preserve"> </w:t>
      </w:r>
      <w:r w:rsidRPr="005A255B">
        <w:rPr>
          <w:rFonts w:ascii="Times New Roman" w:eastAsia="Calibri" w:hAnsi="Times New Roman" w:cs="Times New Roman"/>
          <w:sz w:val="24"/>
          <w:szCs w:val="24"/>
          <w:lang w:val="en-US"/>
        </w:rPr>
        <w:t>in 2013.</w:t>
      </w:r>
    </w:p>
    <w:p w:rsidR="00D55472" w:rsidRPr="005A255B" w:rsidRDefault="00D55472" w:rsidP="00D55472">
      <w:pPr>
        <w:autoSpaceDN w:val="0"/>
        <w:spacing w:after="120" w:line="240" w:lineRule="auto"/>
        <w:ind w:firstLine="567"/>
        <w:jc w:val="both"/>
        <w:rPr>
          <w:rFonts w:ascii="Times New Roman" w:eastAsia="Calibri" w:hAnsi="Times New Roman" w:cs="Times New Roman"/>
          <w:sz w:val="24"/>
          <w:szCs w:val="24"/>
          <w:lang w:val="en-US"/>
        </w:rPr>
      </w:pPr>
      <w:r w:rsidRPr="005A255B">
        <w:rPr>
          <w:rFonts w:ascii="Times New Roman" w:eastAsia="Calibri" w:hAnsi="Times New Roman" w:cs="Times New Roman"/>
          <w:sz w:val="24"/>
          <w:szCs w:val="24"/>
          <w:lang w:val="en-US"/>
        </w:rPr>
        <w:t>As part of the reorganization of the Bank of Russia, NCC was transferred to 4th Service department of the Moscow HTD. To ensure the execution of payments, bank statements submission, exchange of informal information, the transfer of interaction of NCC with payment system of the Bank of Russia through 4th Service Department of Moscow GTU was implemented.</w:t>
      </w:r>
    </w:p>
    <w:p w:rsidR="00D55472" w:rsidRPr="005A255B" w:rsidRDefault="00D55472" w:rsidP="00D55472">
      <w:pPr>
        <w:autoSpaceDN w:val="0"/>
        <w:spacing w:after="120" w:line="240" w:lineRule="auto"/>
        <w:ind w:firstLine="567"/>
        <w:jc w:val="both"/>
        <w:rPr>
          <w:rFonts w:ascii="Times New Roman" w:eastAsia="Calibri" w:hAnsi="Times New Roman" w:cs="Times New Roman"/>
          <w:sz w:val="24"/>
          <w:szCs w:val="24"/>
          <w:lang w:val="en-US"/>
        </w:rPr>
      </w:pPr>
      <w:r w:rsidRPr="005A255B">
        <w:rPr>
          <w:rFonts w:ascii="Times New Roman" w:eastAsia="Calibri" w:hAnsi="Times New Roman" w:cs="Times New Roman"/>
          <w:sz w:val="24"/>
          <w:szCs w:val="24"/>
          <w:lang w:val="en-US"/>
        </w:rPr>
        <w:t xml:space="preserve">Compared with 2012, document flow with the Central Bank and Federal Services grew by 35%: document flow started in accordance with the FZ-210, the Regulation of the Bank of Russia 402-P, the Direction of the T-193, etc. Due to the significant growth of electronic document flow with Moscow GTU and Federal Services, </w:t>
      </w:r>
      <w:r w:rsidRPr="00290701">
        <w:rPr>
          <w:rFonts w:ascii="Times New Roman" w:eastAsia="Calibri" w:hAnsi="Times New Roman" w:cs="Times New Roman"/>
          <w:sz w:val="24"/>
          <w:szCs w:val="24"/>
          <w:lang w:val="en-US"/>
        </w:rPr>
        <w:t xml:space="preserve">dedicated Ethernet </w:t>
      </w:r>
      <w:r w:rsidRPr="005A255B">
        <w:rPr>
          <w:rFonts w:ascii="Times New Roman" w:eastAsia="Calibri" w:hAnsi="Times New Roman" w:cs="Times New Roman"/>
          <w:sz w:val="24"/>
          <w:szCs w:val="24"/>
          <w:lang w:val="en-US"/>
        </w:rPr>
        <w:t xml:space="preserve">channel was organized, and EDI was transferred to the new technology "Environment of interaction with the client of the Bank of Russia". </w:t>
      </w:r>
    </w:p>
    <w:p w:rsidR="00D55472" w:rsidRPr="005A255B" w:rsidRDefault="00D55472" w:rsidP="00D55472">
      <w:pPr>
        <w:autoSpaceDN w:val="0"/>
        <w:spacing w:after="120" w:line="240" w:lineRule="auto"/>
        <w:ind w:firstLine="567"/>
        <w:jc w:val="both"/>
        <w:rPr>
          <w:rFonts w:ascii="Times New Roman" w:eastAsia="Calibri" w:hAnsi="Times New Roman" w:cs="Times New Roman"/>
          <w:sz w:val="24"/>
          <w:szCs w:val="24"/>
          <w:lang w:val="en-US"/>
        </w:rPr>
      </w:pPr>
      <w:r w:rsidRPr="005A255B">
        <w:rPr>
          <w:rFonts w:ascii="Times New Roman" w:eastAsia="Calibri" w:hAnsi="Times New Roman" w:cs="Times New Roman"/>
          <w:sz w:val="24"/>
          <w:szCs w:val="24"/>
          <w:lang w:val="en-US"/>
        </w:rPr>
        <w:t xml:space="preserve">Comparison of </w:t>
      </w:r>
      <w:r w:rsidR="00D35260" w:rsidRPr="005A255B">
        <w:rPr>
          <w:rFonts w:ascii="Times New Roman" w:eastAsia="Calibri" w:hAnsi="Times New Roman" w:cs="Times New Roman"/>
          <w:sz w:val="24"/>
          <w:szCs w:val="24"/>
          <w:lang w:val="en-US"/>
        </w:rPr>
        <w:t xml:space="preserve">the most important for data processing speed </w:t>
      </w:r>
      <w:r w:rsidR="00D35260">
        <w:rPr>
          <w:rFonts w:ascii="Times New Roman" w:eastAsia="Calibri" w:hAnsi="Times New Roman" w:cs="Times New Roman"/>
          <w:sz w:val="24"/>
          <w:szCs w:val="24"/>
          <w:lang w:val="en-US"/>
        </w:rPr>
        <w:t>volumes of documents flow</w:t>
      </w:r>
      <w:r w:rsidRPr="005A255B">
        <w:rPr>
          <w:rFonts w:ascii="Times New Roman" w:eastAsia="Calibri" w:hAnsi="Times New Roman" w:cs="Times New Roman"/>
          <w:sz w:val="24"/>
          <w:szCs w:val="24"/>
          <w:lang w:val="en-US"/>
        </w:rPr>
        <w:t xml:space="preserve"> </w:t>
      </w:r>
      <w:r w:rsidR="00D35260">
        <w:rPr>
          <w:rFonts w:ascii="Times New Roman" w:eastAsia="Calibri" w:hAnsi="Times New Roman" w:cs="Times New Roman"/>
          <w:sz w:val="24"/>
          <w:szCs w:val="24"/>
          <w:lang w:val="en-US"/>
        </w:rPr>
        <w:t xml:space="preserve">is </w:t>
      </w:r>
      <w:r w:rsidRPr="005A255B">
        <w:rPr>
          <w:rFonts w:ascii="Times New Roman" w:eastAsia="Calibri" w:hAnsi="Times New Roman" w:cs="Times New Roman"/>
          <w:sz w:val="24"/>
          <w:szCs w:val="24"/>
          <w:lang w:val="en-US"/>
        </w:rPr>
        <w:t>shown in the following scheme:</w:t>
      </w:r>
    </w:p>
    <w:p w:rsidR="00D55472" w:rsidRPr="005A255B" w:rsidRDefault="00D55472" w:rsidP="00D55472">
      <w:pPr>
        <w:autoSpaceDN w:val="0"/>
        <w:spacing w:after="120" w:line="240" w:lineRule="auto"/>
        <w:ind w:firstLine="567"/>
        <w:jc w:val="both"/>
        <w:rPr>
          <w:rFonts w:ascii="Times New Roman" w:eastAsia="Calibri" w:hAnsi="Times New Roman" w:cs="Times New Roman"/>
          <w:noProof/>
          <w:sz w:val="24"/>
          <w:szCs w:val="24"/>
          <w:lang w:val="en-US" w:eastAsia="ru-RU"/>
        </w:rPr>
      </w:pPr>
      <w:r w:rsidRPr="005A255B">
        <w:rPr>
          <w:noProof/>
          <w:lang w:eastAsia="ru-RU"/>
        </w:rPr>
        <mc:AlternateContent>
          <mc:Choice Requires="wps">
            <w:drawing>
              <wp:anchor distT="0" distB="0" distL="114300" distR="114300" simplePos="0" relativeHeight="251672576" behindDoc="0" locked="0" layoutInCell="1" allowOverlap="1" wp14:anchorId="7F137199" wp14:editId="27F9F039">
                <wp:simplePos x="0" y="0"/>
                <wp:positionH relativeFrom="column">
                  <wp:posOffset>3856800</wp:posOffset>
                </wp:positionH>
                <wp:positionV relativeFrom="paragraph">
                  <wp:posOffset>1311910</wp:posOffset>
                </wp:positionV>
                <wp:extent cx="1377315" cy="344170"/>
                <wp:effectExtent l="0" t="0" r="0" b="0"/>
                <wp:wrapNone/>
                <wp:docPr id="21" name="Поле 1"/>
                <wp:cNvGraphicFramePr/>
                <a:graphic xmlns:a="http://schemas.openxmlformats.org/drawingml/2006/main">
                  <a:graphicData uri="http://schemas.microsoft.com/office/word/2010/wordprocessingShape">
                    <wps:wsp>
                      <wps:cNvSpPr txBox="1"/>
                      <wps:spPr>
                        <a:xfrm>
                          <a:off x="0" y="0"/>
                          <a:ext cx="1377315" cy="344170"/>
                        </a:xfrm>
                        <a:prstGeom prst="rect">
                          <a:avLst/>
                        </a:prstGeom>
                        <a:solidFill>
                          <a:sysClr val="window" lastClr="FFFFFF"/>
                        </a:solidFill>
                      </wps:spPr>
                      <wps:txbx>
                        <w:txbxContent>
                          <w:p w:rsidR="00951249" w:rsidRDefault="00951249" w:rsidP="00D55472">
                            <w:pPr>
                              <w:pStyle w:val="af1"/>
                              <w:spacing w:after="0"/>
                              <w:jc w:val="both"/>
                            </w:pPr>
                            <w:r>
                              <w:rPr>
                                <w:rFonts w:asciiTheme="minorHAnsi" w:hAnsi="Calibri" w:cstheme="minorBidi"/>
                                <w:sz w:val="20"/>
                                <w:szCs w:val="20"/>
                                <w:lang w:val="en-US"/>
                              </w:rPr>
                              <w:t>OUTGOING PAYMENTS</w:t>
                            </w:r>
                          </w:p>
                        </w:txbxContent>
                      </wps:txbx>
                      <wps:bodyPr vertOverflow="clip" wrap="square" rtlCol="0"/>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03.7pt;margin-top:103.3pt;width:108.45pt;height:27.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" fillcolor="window" stroked="f">
                <v:textbox>
                  <w:txbxContent>
                    <w:p w:rsidR="00951249" w:rsidRDefault="00951249" w:rsidP="00D55472">
                      <w:pPr>
                        <w:pStyle w:val="af1"/>
                        <w:spacing w:after="0"/>
                        <w:jc w:val="both"/>
                      </w:pPr>
                      <w:r>
                        <w:rPr>
                          <w:rFonts w:asciiTheme="minorHAnsi" w:hAnsi="Calibri" w:cstheme="minorBidi"/>
                          <w:sz w:val="20"/>
                          <w:szCs w:val="20"/>
                          <w:lang w:val="en-US"/>
                        </w:rPr>
                        <w:t>OUTGOING PAYMENTS</w:t>
                      </w:r>
                    </w:p>
                  </w:txbxContent>
                </v:textbox>
              </v:shape>
            </w:pict>
          </mc:Fallback>
        </mc:AlternateContent>
      </w:r>
      <w:r w:rsidRPr="005A255B">
        <w:rPr>
          <w:rFonts w:ascii="Times New Roman" w:eastAsia="Calibri" w:hAnsi="Times New Roman" w:cs="Times New Roman"/>
          <w:noProof/>
          <w:sz w:val="24"/>
          <w:szCs w:val="24"/>
          <w:lang w:eastAsia="ru-RU"/>
        </w:rPr>
        <w:drawing>
          <wp:inline distT="0" distB="0" distL="0" distR="0" wp14:anchorId="3A817514" wp14:editId="137546DA">
            <wp:extent cx="4952011" cy="2505694"/>
            <wp:effectExtent l="0" t="0" r="20320" b="9525"/>
            <wp:docPr id="23"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55472" w:rsidRPr="005A255B" w:rsidRDefault="00D55472" w:rsidP="00D55472">
      <w:pPr>
        <w:spacing w:before="100" w:after="120" w:line="240" w:lineRule="auto"/>
        <w:jc w:val="center"/>
        <w:rPr>
          <w:rFonts w:ascii="Times New Roman" w:eastAsia="Calibri" w:hAnsi="Times New Roman" w:cs="Times New Roman"/>
          <w:sz w:val="24"/>
          <w:szCs w:val="24"/>
          <w:lang w:val="en-US"/>
        </w:rPr>
      </w:pPr>
      <w:proofErr w:type="gramStart"/>
      <w:r w:rsidRPr="005A255B">
        <w:rPr>
          <w:rFonts w:ascii="Times New Roman" w:eastAsia="Calibri" w:hAnsi="Times New Roman" w:cs="Times New Roman"/>
          <w:sz w:val="24"/>
          <w:szCs w:val="24"/>
          <w:lang w:val="en-US"/>
        </w:rPr>
        <w:t>Fig.1.</w:t>
      </w:r>
      <w:proofErr w:type="gramEnd"/>
    </w:p>
    <w:p w:rsidR="00D55472" w:rsidRPr="005A255B" w:rsidRDefault="00D55472" w:rsidP="00D55472">
      <w:pPr>
        <w:spacing w:before="100" w:after="120" w:line="240" w:lineRule="auto"/>
        <w:jc w:val="center"/>
        <w:rPr>
          <w:rFonts w:ascii="Times New Roman" w:eastAsia="Calibri" w:hAnsi="Times New Roman" w:cs="Times New Roman"/>
          <w:sz w:val="24"/>
          <w:szCs w:val="24"/>
          <w:lang w:val="en-US"/>
        </w:rPr>
      </w:pPr>
    </w:p>
    <w:p w:rsidR="00D55472" w:rsidRPr="005A255B" w:rsidRDefault="00D55472" w:rsidP="00D55472">
      <w:pPr>
        <w:autoSpaceDN w:val="0"/>
        <w:spacing w:after="120" w:line="240" w:lineRule="auto"/>
        <w:ind w:firstLine="567"/>
        <w:jc w:val="both"/>
        <w:rPr>
          <w:rFonts w:ascii="Times New Roman" w:eastAsia="Calibri" w:hAnsi="Times New Roman" w:cs="Times New Roman"/>
          <w:sz w:val="24"/>
          <w:szCs w:val="24"/>
          <w:lang w:val="en-US"/>
        </w:rPr>
      </w:pPr>
      <w:r w:rsidRPr="005A255B">
        <w:rPr>
          <w:rFonts w:ascii="Times New Roman" w:eastAsia="Calibri" w:hAnsi="Times New Roman" w:cs="Times New Roman"/>
          <w:sz w:val="24"/>
          <w:szCs w:val="24"/>
          <w:lang w:val="en-US"/>
        </w:rPr>
        <w:t>Change</w:t>
      </w:r>
      <w:r>
        <w:rPr>
          <w:rFonts w:ascii="Times New Roman" w:eastAsia="Calibri" w:hAnsi="Times New Roman" w:cs="Times New Roman"/>
          <w:sz w:val="24"/>
          <w:szCs w:val="24"/>
          <w:lang w:val="en-US"/>
        </w:rPr>
        <w:t xml:space="preserve"> of a</w:t>
      </w:r>
      <w:r w:rsidRPr="005A255B">
        <w:rPr>
          <w:rFonts w:ascii="Times New Roman" w:eastAsia="Calibri" w:hAnsi="Times New Roman" w:cs="Times New Roman"/>
          <w:sz w:val="24"/>
          <w:szCs w:val="24"/>
          <w:lang w:val="en-US"/>
        </w:rPr>
        <w:t xml:space="preserve"> total NCC document flow with the Central Bank and Federal Services </w:t>
      </w:r>
      <w:r>
        <w:rPr>
          <w:rFonts w:ascii="Times New Roman" w:eastAsia="Calibri" w:hAnsi="Times New Roman" w:cs="Times New Roman"/>
          <w:sz w:val="24"/>
          <w:szCs w:val="24"/>
          <w:lang w:val="en-US"/>
        </w:rPr>
        <w:t xml:space="preserve">is </w:t>
      </w:r>
      <w:r w:rsidRPr="005A255B">
        <w:rPr>
          <w:rFonts w:ascii="Times New Roman" w:eastAsia="Calibri" w:hAnsi="Times New Roman" w:cs="Times New Roman"/>
          <w:sz w:val="24"/>
          <w:szCs w:val="24"/>
          <w:lang w:val="en-US"/>
        </w:rPr>
        <w:t>represented on the chart:</w:t>
      </w:r>
    </w:p>
    <w:p w:rsidR="00D55472" w:rsidRPr="005A255B" w:rsidRDefault="00D55472" w:rsidP="00D55472">
      <w:pPr>
        <w:autoSpaceDN w:val="0"/>
        <w:spacing w:after="120" w:line="240" w:lineRule="auto"/>
        <w:ind w:firstLine="567"/>
        <w:jc w:val="both"/>
        <w:rPr>
          <w:rFonts w:ascii="Times New Roman" w:eastAsia="Calibri" w:hAnsi="Times New Roman" w:cs="Times New Roman"/>
          <w:noProof/>
          <w:sz w:val="24"/>
          <w:szCs w:val="24"/>
          <w:lang w:val="en-US" w:eastAsia="ru-RU"/>
        </w:rPr>
      </w:pPr>
    </w:p>
    <w:p w:rsidR="00D55472" w:rsidRPr="005A255B" w:rsidRDefault="00D55472" w:rsidP="00D55472">
      <w:pPr>
        <w:autoSpaceDN w:val="0"/>
        <w:spacing w:after="120" w:line="240" w:lineRule="auto"/>
        <w:ind w:firstLine="567"/>
        <w:jc w:val="both"/>
        <w:rPr>
          <w:rFonts w:ascii="Times New Roman" w:eastAsia="Calibri" w:hAnsi="Times New Roman" w:cs="Times New Roman"/>
          <w:noProof/>
          <w:sz w:val="24"/>
          <w:szCs w:val="24"/>
          <w:lang w:val="en-US" w:eastAsia="ru-RU"/>
        </w:rPr>
      </w:pPr>
      <w:r w:rsidRPr="005A255B">
        <w:rPr>
          <w:noProof/>
          <w:lang w:eastAsia="ru-RU"/>
        </w:rPr>
        <mc:AlternateContent>
          <mc:Choice Requires="wps">
            <w:drawing>
              <wp:anchor distT="0" distB="0" distL="114300" distR="114300" simplePos="0" relativeHeight="251673600" behindDoc="0" locked="0" layoutInCell="1" allowOverlap="1" wp14:anchorId="152BD0B8" wp14:editId="4CF2ED2C">
                <wp:simplePos x="0" y="0"/>
                <wp:positionH relativeFrom="column">
                  <wp:posOffset>4709985</wp:posOffset>
                </wp:positionH>
                <wp:positionV relativeFrom="paragraph">
                  <wp:posOffset>1143000</wp:posOffset>
                </wp:positionV>
                <wp:extent cx="1187533" cy="581891"/>
                <wp:effectExtent l="0" t="0" r="0" b="8890"/>
                <wp:wrapNone/>
                <wp:docPr id="22" name="Поле 1"/>
                <wp:cNvGraphicFramePr/>
                <a:graphic xmlns:a="http://schemas.openxmlformats.org/drawingml/2006/main">
                  <a:graphicData uri="http://schemas.microsoft.com/office/word/2010/wordprocessingShape">
                    <wps:wsp>
                      <wps:cNvSpPr txBox="1"/>
                      <wps:spPr>
                        <a:xfrm>
                          <a:off x="0" y="0"/>
                          <a:ext cx="1187533" cy="581891"/>
                        </a:xfrm>
                        <a:prstGeom prst="rect">
                          <a:avLst/>
                        </a:prstGeom>
                        <a:solidFill>
                          <a:sysClr val="window" lastClr="FFFFFF"/>
                        </a:solidFill>
                      </wps:spPr>
                      <wps:txbx>
                        <w:txbxContent>
                          <w:p w:rsidR="00951249" w:rsidRPr="006038E0" w:rsidRDefault="00951249" w:rsidP="00D55472">
                            <w:pPr>
                              <w:spacing w:after="0"/>
                              <w:jc w:val="both"/>
                              <w:rPr>
                                <w:sz w:val="20"/>
                                <w:szCs w:val="20"/>
                              </w:rPr>
                            </w:pPr>
                            <w:r w:rsidRPr="006038E0">
                              <w:rPr>
                                <w:rFonts w:eastAsia="Calibri" w:cs="Times New Roman"/>
                                <w:bCs/>
                                <w:noProof/>
                                <w:sz w:val="20"/>
                                <w:szCs w:val="20"/>
                                <w:lang w:val="en-US" w:eastAsia="ru-RU"/>
                              </w:rPr>
                              <w:t>TOTAL DOCUMENT FLOW</w:t>
                            </w: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0.85pt;margin-top:90pt;width:93.5pt;height:4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" fillcolor="window" stroked="f">
                <v:textbox>
                  <w:txbxContent>
                    <w:p w:rsidR="00951249" w:rsidRPr="006038E0" w:rsidRDefault="00951249" w:rsidP="00D55472">
                      <w:pPr>
                        <w:spacing w:after="0"/>
                        <w:jc w:val="both"/>
                        <w:rPr>
                          <w:sz w:val="20"/>
                          <w:szCs w:val="20"/>
                        </w:rPr>
                      </w:pPr>
                      <w:r w:rsidRPr="006038E0">
                        <w:rPr>
                          <w:rFonts w:eastAsia="Calibri" w:cs="Times New Roman"/>
                          <w:bCs/>
                          <w:noProof/>
                          <w:sz w:val="20"/>
                          <w:szCs w:val="20"/>
                          <w:lang w:val="en-US" w:eastAsia="ru-RU"/>
                        </w:rPr>
                        <w:t>TOTAL DOCUMENT FLOW</w:t>
                      </w:r>
                    </w:p>
                  </w:txbxContent>
                </v:textbox>
              </v:shape>
            </w:pict>
          </mc:Fallback>
        </mc:AlternateContent>
      </w:r>
      <w:r w:rsidRPr="005A255B">
        <w:rPr>
          <w:rFonts w:ascii="Times New Roman" w:eastAsia="Calibri" w:hAnsi="Times New Roman" w:cs="Times New Roman"/>
          <w:noProof/>
          <w:sz w:val="24"/>
          <w:szCs w:val="24"/>
          <w:lang w:eastAsia="ru-RU"/>
        </w:rPr>
        <w:drawing>
          <wp:inline distT="0" distB="0" distL="0" distR="0" wp14:anchorId="1E819205" wp14:editId="6BCB85E8">
            <wp:extent cx="5633634" cy="2409987"/>
            <wp:effectExtent l="0" t="0" r="24765" b="9525"/>
            <wp:docPr id="24"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55472" w:rsidRPr="005A255B" w:rsidRDefault="00D55472" w:rsidP="00D55472">
      <w:pPr>
        <w:autoSpaceDN w:val="0"/>
        <w:spacing w:before="100" w:after="120" w:line="240" w:lineRule="auto"/>
        <w:jc w:val="center"/>
        <w:rPr>
          <w:rFonts w:ascii="Times New Roman" w:eastAsia="Calibri" w:hAnsi="Times New Roman" w:cs="Times New Roman"/>
          <w:sz w:val="24"/>
          <w:szCs w:val="24"/>
          <w:lang w:val="en-US"/>
        </w:rPr>
      </w:pPr>
      <w:proofErr w:type="gramStart"/>
      <w:r w:rsidRPr="005A255B">
        <w:rPr>
          <w:rFonts w:ascii="Times New Roman" w:eastAsia="Calibri" w:hAnsi="Times New Roman" w:cs="Times New Roman"/>
          <w:sz w:val="24"/>
          <w:szCs w:val="24"/>
          <w:lang w:val="en-US"/>
        </w:rPr>
        <w:t>Fig.2.</w:t>
      </w:r>
      <w:proofErr w:type="gramEnd"/>
    </w:p>
    <w:p w:rsidR="00D55472" w:rsidRPr="005A255B" w:rsidRDefault="00D55472" w:rsidP="00D55472">
      <w:pPr>
        <w:spacing w:before="100" w:after="120" w:line="240" w:lineRule="auto"/>
        <w:jc w:val="center"/>
        <w:rPr>
          <w:rFonts w:ascii="Times New Roman" w:eastAsia="Calibri" w:hAnsi="Times New Roman" w:cs="Times New Roman"/>
          <w:noProof/>
          <w:sz w:val="24"/>
          <w:szCs w:val="24"/>
          <w:lang w:val="en-US" w:eastAsia="ru-RU"/>
        </w:rPr>
      </w:pPr>
    </w:p>
    <w:p w:rsidR="00D55472" w:rsidRPr="005A255B" w:rsidRDefault="00D55472" w:rsidP="00D55472">
      <w:pPr>
        <w:autoSpaceDN w:val="0"/>
        <w:spacing w:after="120" w:line="240" w:lineRule="auto"/>
        <w:ind w:firstLine="567"/>
        <w:jc w:val="both"/>
        <w:rPr>
          <w:rFonts w:ascii="Times New Roman" w:eastAsia="Calibri" w:hAnsi="Times New Roman" w:cs="Times New Roman"/>
          <w:sz w:val="24"/>
          <w:szCs w:val="24"/>
          <w:lang w:val="en-US"/>
        </w:rPr>
      </w:pPr>
      <w:r w:rsidRPr="005A255B">
        <w:rPr>
          <w:rFonts w:ascii="Times New Roman" w:eastAsia="Calibri" w:hAnsi="Times New Roman" w:cs="Times New Roman"/>
          <w:sz w:val="24"/>
          <w:szCs w:val="24"/>
          <w:lang w:val="en-US"/>
        </w:rPr>
        <w:t xml:space="preserve">Also to meet the requirements of the Federal Law </w:t>
      </w:r>
      <w:r>
        <w:rPr>
          <w:rFonts w:ascii="Times New Roman" w:eastAsia="Calibri" w:hAnsi="Times New Roman" w:cs="Times New Roman"/>
          <w:sz w:val="24"/>
          <w:szCs w:val="24"/>
          <w:lang w:val="en-US"/>
        </w:rPr>
        <w:t>dated</w:t>
      </w:r>
      <w:r w:rsidRPr="005A255B">
        <w:rPr>
          <w:rFonts w:ascii="Times New Roman" w:eastAsia="Calibri" w:hAnsi="Times New Roman" w:cs="Times New Roman"/>
          <w:sz w:val="24"/>
          <w:szCs w:val="24"/>
          <w:lang w:val="en-US"/>
        </w:rPr>
        <w:t xml:space="preserve"> 27 July 2010 No. 210 "On the organization of public and municipal services" </w:t>
      </w:r>
      <w:r>
        <w:rPr>
          <w:rFonts w:ascii="Times New Roman" w:eastAsia="Calibri" w:hAnsi="Times New Roman" w:cs="Times New Roman"/>
          <w:sz w:val="24"/>
          <w:szCs w:val="24"/>
          <w:lang w:val="en-US"/>
        </w:rPr>
        <w:t>IT Technology for</w:t>
      </w:r>
      <w:r w:rsidRPr="005A255B">
        <w:rPr>
          <w:rFonts w:ascii="Times New Roman" w:eastAsia="Calibri" w:hAnsi="Times New Roman" w:cs="Times New Roman"/>
          <w:sz w:val="24"/>
          <w:szCs w:val="24"/>
          <w:lang w:val="en-US"/>
        </w:rPr>
        <w:t xml:space="preserve"> preparation and transmission of information in the "State information systems of state and municipal payments" complex was put into operation.</w:t>
      </w:r>
    </w:p>
    <w:p w:rsidR="00D55472" w:rsidRPr="005A255B" w:rsidRDefault="00D55472" w:rsidP="00D55472">
      <w:pPr>
        <w:autoSpaceDN w:val="0"/>
        <w:spacing w:after="120" w:line="240" w:lineRule="auto"/>
        <w:ind w:firstLine="567"/>
        <w:jc w:val="both"/>
        <w:rPr>
          <w:rFonts w:ascii="Times New Roman" w:eastAsia="Calibri" w:hAnsi="Times New Roman" w:cs="Times New Roman"/>
          <w:sz w:val="24"/>
          <w:szCs w:val="24"/>
          <w:lang w:val="en-US"/>
        </w:rPr>
      </w:pPr>
      <w:r w:rsidRPr="005A255B">
        <w:rPr>
          <w:rFonts w:ascii="Times New Roman" w:eastAsia="Calibri" w:hAnsi="Times New Roman" w:cs="Times New Roman"/>
          <w:sz w:val="24"/>
          <w:szCs w:val="24"/>
          <w:lang w:val="en-US"/>
        </w:rPr>
        <w:t xml:space="preserve">To </w:t>
      </w:r>
      <w:r w:rsidRPr="00330D1E">
        <w:rPr>
          <w:rFonts w:ascii="Times New Roman" w:eastAsia="Calibri" w:hAnsi="Times New Roman" w:cs="Times New Roman"/>
          <w:sz w:val="24"/>
          <w:szCs w:val="24"/>
          <w:lang w:val="en-US"/>
        </w:rPr>
        <w:t>provide</w:t>
      </w:r>
      <w:r w:rsidRPr="00330D1E" w:rsidDel="00330D1E">
        <w:rPr>
          <w:rFonts w:ascii="Times New Roman" w:eastAsia="Calibri" w:hAnsi="Times New Roman" w:cs="Times New Roman"/>
          <w:sz w:val="24"/>
          <w:szCs w:val="24"/>
          <w:lang w:val="en-US"/>
        </w:rPr>
        <w:t xml:space="preserve"> </w:t>
      </w:r>
      <w:r w:rsidRPr="005A255B">
        <w:rPr>
          <w:rFonts w:ascii="Times New Roman" w:eastAsia="Calibri" w:hAnsi="Times New Roman" w:cs="Times New Roman"/>
          <w:sz w:val="24"/>
          <w:szCs w:val="24"/>
          <w:lang w:val="en-US"/>
        </w:rPr>
        <w:t xml:space="preserve">uninterrupted activities of Treasury Operations Centre software and hardware complex </w:t>
      </w:r>
      <w:r w:rsidRPr="00566A9D">
        <w:rPr>
          <w:rFonts w:ascii="Times New Roman" w:eastAsia="Calibri" w:hAnsi="Times New Roman" w:cs="Times New Roman"/>
          <w:sz w:val="24"/>
          <w:szCs w:val="24"/>
          <w:lang w:val="en-US"/>
        </w:rPr>
        <w:t>Thomson</w:t>
      </w:r>
      <w:r w:rsidRPr="00290701">
        <w:rPr>
          <w:rFonts w:ascii="Times New Roman" w:eastAsia="Calibri" w:hAnsi="Times New Roman" w:cs="Times New Roman"/>
          <w:sz w:val="24"/>
          <w:szCs w:val="24"/>
          <w:lang w:val="en-US"/>
        </w:rPr>
        <w:t xml:space="preserve"> </w:t>
      </w:r>
      <w:r w:rsidRPr="00566A9D">
        <w:rPr>
          <w:rFonts w:ascii="Times New Roman" w:eastAsia="Calibri" w:hAnsi="Times New Roman" w:cs="Times New Roman"/>
          <w:sz w:val="24"/>
          <w:szCs w:val="24"/>
          <w:lang w:val="en-US"/>
        </w:rPr>
        <w:t>Reuters</w:t>
      </w:r>
      <w:r w:rsidRPr="00290701">
        <w:rPr>
          <w:rFonts w:ascii="Times New Roman" w:eastAsia="Calibri" w:hAnsi="Times New Roman" w:cs="Times New Roman"/>
          <w:sz w:val="24"/>
          <w:szCs w:val="24"/>
          <w:lang w:val="en-US"/>
        </w:rPr>
        <w:t xml:space="preserve"> </w:t>
      </w:r>
      <w:r w:rsidRPr="00566A9D">
        <w:rPr>
          <w:rFonts w:ascii="Times New Roman" w:eastAsia="Calibri" w:hAnsi="Times New Roman" w:cs="Times New Roman"/>
          <w:sz w:val="24"/>
          <w:szCs w:val="24"/>
          <w:lang w:val="en-US"/>
        </w:rPr>
        <w:t>Deal</w:t>
      </w:r>
      <w:r w:rsidRPr="00290701">
        <w:rPr>
          <w:rFonts w:ascii="Times New Roman" w:eastAsia="Calibri" w:hAnsi="Times New Roman" w:cs="Times New Roman"/>
          <w:sz w:val="24"/>
          <w:szCs w:val="24"/>
          <w:lang w:val="en-US"/>
        </w:rPr>
        <w:t xml:space="preserve"> </w:t>
      </w:r>
      <w:r w:rsidRPr="00566A9D">
        <w:rPr>
          <w:rFonts w:ascii="Times New Roman" w:eastAsia="Calibri" w:hAnsi="Times New Roman" w:cs="Times New Roman"/>
          <w:sz w:val="24"/>
          <w:szCs w:val="24"/>
          <w:lang w:val="en-US"/>
        </w:rPr>
        <w:t>Tracker</w:t>
      </w:r>
      <w:r w:rsidRPr="005A255B" w:rsidDel="00330D1E">
        <w:rPr>
          <w:rFonts w:ascii="Times New Roman" w:eastAsia="Calibri" w:hAnsi="Times New Roman" w:cs="Times New Roman"/>
          <w:sz w:val="24"/>
          <w:szCs w:val="24"/>
          <w:lang w:val="en-US"/>
        </w:rPr>
        <w:t xml:space="preserve"> </w:t>
      </w:r>
      <w:r w:rsidRPr="005A255B">
        <w:rPr>
          <w:rFonts w:ascii="Times New Roman" w:eastAsia="Calibri" w:hAnsi="Times New Roman" w:cs="Times New Roman"/>
          <w:sz w:val="24"/>
          <w:szCs w:val="24"/>
          <w:lang w:val="en-US"/>
        </w:rPr>
        <w:t>was put into operation. The transition from a system of trades accounting “</w:t>
      </w:r>
      <w:r w:rsidRPr="00330D1E">
        <w:rPr>
          <w:rFonts w:ascii="Times New Roman" w:eastAsia="Calibri" w:hAnsi="Times New Roman" w:cs="Times New Roman"/>
          <w:sz w:val="24"/>
          <w:szCs w:val="24"/>
          <w:lang w:val="en-US"/>
        </w:rPr>
        <w:t xml:space="preserve">Deal </w:t>
      </w:r>
      <w:r w:rsidRPr="005A255B">
        <w:rPr>
          <w:rFonts w:ascii="Times New Roman" w:eastAsia="Calibri" w:hAnsi="Times New Roman" w:cs="Times New Roman"/>
          <w:sz w:val="24"/>
          <w:szCs w:val="24"/>
          <w:lang w:val="en-US"/>
        </w:rPr>
        <w:t xml:space="preserve">Sputnik" </w:t>
      </w:r>
      <w:r>
        <w:rPr>
          <w:rFonts w:ascii="Times New Roman" w:eastAsia="Calibri" w:hAnsi="Times New Roman" w:cs="Times New Roman"/>
          <w:sz w:val="24"/>
          <w:szCs w:val="24"/>
          <w:lang w:val="en-US"/>
        </w:rPr>
        <w:t>to</w:t>
      </w:r>
      <w:r w:rsidRPr="005A255B">
        <w:rPr>
          <w:rFonts w:ascii="Times New Roman" w:eastAsia="Calibri" w:hAnsi="Times New Roman" w:cs="Times New Roman"/>
          <w:sz w:val="24"/>
          <w:szCs w:val="24"/>
          <w:lang w:val="en-US"/>
        </w:rPr>
        <w:t xml:space="preserve"> </w:t>
      </w:r>
      <w:r w:rsidR="00B00A8A">
        <w:rPr>
          <w:rFonts w:ascii="Times New Roman" w:eastAsia="Calibri" w:hAnsi="Times New Roman" w:cs="Times New Roman"/>
          <w:sz w:val="24"/>
          <w:szCs w:val="24"/>
          <w:lang w:val="en-US"/>
        </w:rPr>
        <w:t xml:space="preserve">a </w:t>
      </w:r>
      <w:r>
        <w:rPr>
          <w:rFonts w:ascii="Times New Roman" w:eastAsia="Calibri" w:hAnsi="Times New Roman" w:cs="Times New Roman"/>
          <w:sz w:val="24"/>
          <w:szCs w:val="24"/>
          <w:lang w:val="en-US"/>
        </w:rPr>
        <w:t>modern</w:t>
      </w:r>
      <w:r w:rsidRPr="005A255B">
        <w:rPr>
          <w:rFonts w:ascii="Times New Roman" w:eastAsia="Calibri" w:hAnsi="Times New Roman" w:cs="Times New Roman"/>
          <w:sz w:val="24"/>
          <w:szCs w:val="24"/>
          <w:lang w:val="en-US"/>
        </w:rPr>
        <w:t xml:space="preserve"> system “</w:t>
      </w:r>
      <w:r w:rsidRPr="00566A9D">
        <w:rPr>
          <w:rFonts w:ascii="Times New Roman" w:eastAsia="Calibri" w:hAnsi="Times New Roman" w:cs="Times New Roman"/>
          <w:sz w:val="24"/>
          <w:szCs w:val="24"/>
          <w:lang w:val="en-US"/>
        </w:rPr>
        <w:t>Deal</w:t>
      </w:r>
      <w:r w:rsidRPr="00B44D16">
        <w:rPr>
          <w:rFonts w:ascii="Times New Roman" w:eastAsia="Calibri" w:hAnsi="Times New Roman" w:cs="Times New Roman"/>
          <w:sz w:val="24"/>
          <w:szCs w:val="24"/>
          <w:lang w:val="en-US"/>
        </w:rPr>
        <w:t xml:space="preserve"> </w:t>
      </w:r>
      <w:r w:rsidRPr="005A255B">
        <w:rPr>
          <w:rFonts w:ascii="Times New Roman" w:eastAsia="Calibri" w:hAnsi="Times New Roman" w:cs="Times New Roman"/>
          <w:sz w:val="24"/>
          <w:szCs w:val="24"/>
          <w:lang w:val="en-US"/>
        </w:rPr>
        <w:t xml:space="preserve">Tracker", </w:t>
      </w:r>
      <w:r w:rsidRPr="00290701">
        <w:rPr>
          <w:rFonts w:ascii="Times New Roman" w:eastAsia="Calibri" w:hAnsi="Times New Roman" w:cs="Times New Roman"/>
          <w:sz w:val="24"/>
          <w:szCs w:val="24"/>
          <w:lang w:val="en-US"/>
        </w:rPr>
        <w:t>providing</w:t>
      </w:r>
      <w:r w:rsidRPr="005A255B" w:rsidDel="00330D1E">
        <w:rPr>
          <w:rFonts w:ascii="Times New Roman" w:eastAsia="Calibri" w:hAnsi="Times New Roman" w:cs="Times New Roman"/>
          <w:sz w:val="24"/>
          <w:szCs w:val="24"/>
          <w:lang w:val="en-US"/>
        </w:rPr>
        <w:t xml:space="preserve"> </w:t>
      </w:r>
      <w:r w:rsidRPr="005A255B">
        <w:rPr>
          <w:rFonts w:ascii="Times New Roman" w:eastAsia="Calibri" w:hAnsi="Times New Roman" w:cs="Times New Roman"/>
          <w:sz w:val="24"/>
          <w:szCs w:val="24"/>
          <w:lang w:val="en-US"/>
        </w:rPr>
        <w:t xml:space="preserve"> transmitting </w:t>
      </w:r>
      <w:r>
        <w:rPr>
          <w:rFonts w:ascii="Times New Roman" w:eastAsia="Calibri" w:hAnsi="Times New Roman" w:cs="Times New Roman"/>
          <w:sz w:val="24"/>
          <w:szCs w:val="24"/>
          <w:lang w:val="en-US"/>
        </w:rPr>
        <w:t xml:space="preserve">of </w:t>
      </w:r>
      <w:r w:rsidRPr="005A255B">
        <w:rPr>
          <w:rFonts w:ascii="Times New Roman" w:eastAsia="Calibri" w:hAnsi="Times New Roman" w:cs="Times New Roman"/>
          <w:sz w:val="24"/>
          <w:szCs w:val="24"/>
          <w:lang w:val="en-US"/>
        </w:rPr>
        <w:t>trades in</w:t>
      </w:r>
      <w:r>
        <w:rPr>
          <w:rFonts w:ascii="Times New Roman" w:eastAsia="Calibri" w:hAnsi="Times New Roman" w:cs="Times New Roman"/>
          <w:sz w:val="24"/>
          <w:szCs w:val="24"/>
          <w:lang w:val="en-US"/>
        </w:rPr>
        <w:t>to</w:t>
      </w:r>
      <w:r w:rsidRPr="005A255B">
        <w:rPr>
          <w:rFonts w:ascii="Times New Roman" w:eastAsia="Calibri" w:hAnsi="Times New Roman" w:cs="Times New Roman"/>
          <w:sz w:val="24"/>
          <w:szCs w:val="24"/>
          <w:lang w:val="en-US"/>
        </w:rPr>
        <w:t xml:space="preserve"> the front office treasury system and </w:t>
      </w:r>
      <w:r w:rsidRPr="00330D1E">
        <w:rPr>
          <w:rFonts w:ascii="Times New Roman" w:eastAsia="Calibri" w:hAnsi="Times New Roman" w:cs="Times New Roman"/>
          <w:sz w:val="24"/>
          <w:szCs w:val="24"/>
          <w:lang w:val="en-US"/>
        </w:rPr>
        <w:t>IBS "Centaurus Omega"</w:t>
      </w:r>
      <w:r w:rsidRPr="005A255B">
        <w:rPr>
          <w:rFonts w:ascii="Times New Roman" w:eastAsia="Calibri" w:hAnsi="Times New Roman" w:cs="Times New Roman"/>
          <w:sz w:val="24"/>
          <w:szCs w:val="24"/>
          <w:lang w:val="en-US"/>
        </w:rPr>
        <w:t>, was implemented.</w:t>
      </w:r>
    </w:p>
    <w:p w:rsidR="00D55472" w:rsidRPr="005A255B" w:rsidRDefault="00D55472" w:rsidP="00D55472">
      <w:pPr>
        <w:autoSpaceDN w:val="0"/>
        <w:spacing w:after="120" w:line="240" w:lineRule="auto"/>
        <w:ind w:firstLine="567"/>
        <w:jc w:val="both"/>
        <w:rPr>
          <w:rFonts w:ascii="Times New Roman" w:eastAsia="Calibri" w:hAnsi="Times New Roman" w:cs="Times New Roman"/>
          <w:sz w:val="24"/>
          <w:szCs w:val="24"/>
          <w:lang w:val="en-US"/>
        </w:rPr>
      </w:pPr>
      <w:r w:rsidRPr="005A255B">
        <w:rPr>
          <w:rFonts w:ascii="Times New Roman" w:eastAsia="Calibri" w:hAnsi="Times New Roman" w:cs="Times New Roman"/>
          <w:sz w:val="24"/>
          <w:szCs w:val="24"/>
          <w:lang w:val="en-US"/>
        </w:rPr>
        <w:t>To improve the reliability of the bank's systems and</w:t>
      </w:r>
      <w:r>
        <w:rPr>
          <w:rFonts w:ascii="Times New Roman" w:eastAsia="Calibri" w:hAnsi="Times New Roman" w:cs="Times New Roman"/>
          <w:sz w:val="24"/>
          <w:szCs w:val="24"/>
          <w:lang w:val="en-US"/>
        </w:rPr>
        <w:t xml:space="preserve"> to</w:t>
      </w:r>
      <w:r w:rsidRPr="005A255B">
        <w:rPr>
          <w:rFonts w:ascii="Times New Roman" w:eastAsia="Calibri" w:hAnsi="Times New Roman" w:cs="Times New Roman"/>
          <w:sz w:val="24"/>
          <w:szCs w:val="24"/>
          <w:lang w:val="en-US"/>
        </w:rPr>
        <w:t xml:space="preserve"> reduce </w:t>
      </w:r>
      <w:r w:rsidR="00B00A8A">
        <w:rPr>
          <w:rFonts w:ascii="Times New Roman" w:eastAsia="Calibri" w:hAnsi="Times New Roman" w:cs="Times New Roman"/>
          <w:sz w:val="24"/>
          <w:szCs w:val="24"/>
          <w:lang w:val="en-US"/>
        </w:rPr>
        <w:t xml:space="preserve">the </w:t>
      </w:r>
      <w:r w:rsidRPr="005A255B">
        <w:rPr>
          <w:rFonts w:ascii="Times New Roman" w:eastAsia="Calibri" w:hAnsi="Times New Roman" w:cs="Times New Roman"/>
          <w:sz w:val="24"/>
          <w:szCs w:val="24"/>
          <w:lang w:val="en-US"/>
        </w:rPr>
        <w:t xml:space="preserve">operational risk, the following </w:t>
      </w:r>
      <w:r>
        <w:rPr>
          <w:rFonts w:ascii="Times New Roman" w:eastAsia="Calibri" w:hAnsi="Times New Roman" w:cs="Times New Roman"/>
          <w:sz w:val="24"/>
          <w:szCs w:val="24"/>
          <w:lang w:val="en-US"/>
        </w:rPr>
        <w:t>measures were car</w:t>
      </w:r>
      <w:r w:rsidR="00B00A8A">
        <w:rPr>
          <w:rFonts w:ascii="Times New Roman" w:eastAsia="Calibri" w:hAnsi="Times New Roman" w:cs="Times New Roman"/>
          <w:sz w:val="24"/>
          <w:szCs w:val="24"/>
          <w:lang w:val="en-US"/>
        </w:rPr>
        <w:t>ried out</w:t>
      </w:r>
      <w:r w:rsidRPr="005A255B">
        <w:rPr>
          <w:rFonts w:ascii="Times New Roman" w:eastAsia="Calibri" w:hAnsi="Times New Roman" w:cs="Times New Roman"/>
          <w:sz w:val="24"/>
          <w:szCs w:val="24"/>
          <w:lang w:val="en-US"/>
        </w:rPr>
        <w:t>.</w:t>
      </w:r>
    </w:p>
    <w:p w:rsidR="00D55472" w:rsidRPr="005A255B" w:rsidRDefault="00D55472" w:rsidP="00D55472">
      <w:pPr>
        <w:autoSpaceDN w:val="0"/>
        <w:spacing w:after="120" w:line="240" w:lineRule="auto"/>
        <w:ind w:firstLine="567"/>
        <w:jc w:val="both"/>
        <w:rPr>
          <w:rFonts w:ascii="Times New Roman" w:eastAsia="Calibri" w:hAnsi="Times New Roman" w:cs="Times New Roman"/>
          <w:sz w:val="24"/>
          <w:szCs w:val="24"/>
          <w:lang w:val="en-US"/>
        </w:rPr>
      </w:pPr>
      <w:r w:rsidRPr="005A255B">
        <w:rPr>
          <w:rFonts w:ascii="Times New Roman" w:eastAsia="Calibri" w:hAnsi="Times New Roman" w:cs="Times New Roman"/>
          <w:sz w:val="24"/>
          <w:szCs w:val="24"/>
          <w:lang w:val="en-US"/>
        </w:rPr>
        <w:t xml:space="preserve">The modernization of </w:t>
      </w:r>
      <w:r>
        <w:rPr>
          <w:rFonts w:ascii="Times New Roman" w:eastAsia="Calibri" w:hAnsi="Times New Roman" w:cs="Times New Roman"/>
          <w:sz w:val="24"/>
          <w:szCs w:val="24"/>
          <w:lang w:val="en-US"/>
        </w:rPr>
        <w:t>Monitoring System</w:t>
      </w:r>
      <w:r w:rsidRPr="005A255B">
        <w:rPr>
          <w:rFonts w:ascii="Times New Roman" w:eastAsia="Calibri" w:hAnsi="Times New Roman" w:cs="Times New Roman"/>
          <w:sz w:val="24"/>
          <w:szCs w:val="24"/>
          <w:lang w:val="en-US"/>
        </w:rPr>
        <w:t xml:space="preserve"> Advanced Host Monitor was </w:t>
      </w:r>
      <w:proofErr w:type="gramStart"/>
      <w:r>
        <w:rPr>
          <w:rFonts w:ascii="Times New Roman" w:eastAsia="Calibri" w:hAnsi="Times New Roman" w:cs="Times New Roman"/>
          <w:sz w:val="24"/>
          <w:szCs w:val="24"/>
          <w:lang w:val="en-US"/>
        </w:rPr>
        <w:t>implemented</w:t>
      </w:r>
      <w:r w:rsidRPr="005A255B">
        <w:rPr>
          <w:rFonts w:ascii="Times New Roman" w:eastAsia="Calibri" w:hAnsi="Times New Roman" w:cs="Times New Roman"/>
          <w:sz w:val="24"/>
          <w:szCs w:val="24"/>
          <w:lang w:val="en-US"/>
        </w:rPr>
        <w:t>,</w:t>
      </w:r>
      <w:proofErr w:type="gramEnd"/>
      <w:r w:rsidRPr="005A255B">
        <w:rPr>
          <w:rFonts w:ascii="Times New Roman" w:eastAsia="Calibri" w:hAnsi="Times New Roman" w:cs="Times New Roman"/>
          <w:sz w:val="24"/>
          <w:szCs w:val="24"/>
          <w:lang w:val="en-US"/>
        </w:rPr>
        <w:t xml:space="preserve"> a system of SMS-notification of failures and critical events in </w:t>
      </w:r>
      <w:r>
        <w:rPr>
          <w:rFonts w:ascii="Times New Roman" w:eastAsia="Calibri" w:hAnsi="Times New Roman" w:cs="Times New Roman"/>
          <w:sz w:val="24"/>
          <w:szCs w:val="24"/>
          <w:lang w:val="en-US"/>
        </w:rPr>
        <w:t>IT System</w:t>
      </w:r>
      <w:r w:rsidRPr="005A255B">
        <w:rPr>
          <w:rFonts w:ascii="Times New Roman" w:eastAsia="Calibri" w:hAnsi="Times New Roman" w:cs="Times New Roman"/>
          <w:sz w:val="24"/>
          <w:szCs w:val="24"/>
          <w:lang w:val="en-US"/>
        </w:rPr>
        <w:t xml:space="preserve"> of NCC was put into operation. </w:t>
      </w:r>
      <w:r w:rsidR="00B00A8A">
        <w:rPr>
          <w:rFonts w:ascii="Times New Roman" w:eastAsia="Calibri" w:hAnsi="Times New Roman" w:cs="Times New Roman"/>
          <w:sz w:val="24"/>
          <w:szCs w:val="24"/>
          <w:lang w:val="en-US"/>
        </w:rPr>
        <w:t>The d</w:t>
      </w:r>
      <w:r w:rsidRPr="005A255B">
        <w:rPr>
          <w:rFonts w:ascii="Times New Roman" w:eastAsia="Calibri" w:hAnsi="Times New Roman" w:cs="Times New Roman"/>
          <w:sz w:val="24"/>
          <w:szCs w:val="24"/>
          <w:lang w:val="en-US"/>
        </w:rPr>
        <w:t xml:space="preserve">eep modernization of NCC data storage was </w:t>
      </w:r>
      <w:r>
        <w:rPr>
          <w:rFonts w:ascii="Times New Roman" w:eastAsia="Calibri" w:hAnsi="Times New Roman" w:cs="Times New Roman"/>
          <w:sz w:val="24"/>
          <w:szCs w:val="24"/>
          <w:lang w:val="en-US"/>
        </w:rPr>
        <w:t>made</w:t>
      </w:r>
      <w:r w:rsidRPr="005A255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a </w:t>
      </w:r>
      <w:r w:rsidRPr="005A255B">
        <w:rPr>
          <w:rFonts w:ascii="Times New Roman" w:eastAsia="Calibri" w:hAnsi="Times New Roman" w:cs="Times New Roman"/>
          <w:sz w:val="24"/>
          <w:szCs w:val="24"/>
          <w:lang w:val="en-US"/>
        </w:rPr>
        <w:t xml:space="preserve">single point of failure of equipment HP P2000 G3 SAS MSA was </w:t>
      </w:r>
      <w:r>
        <w:rPr>
          <w:rFonts w:ascii="Times New Roman" w:eastAsia="Calibri" w:hAnsi="Times New Roman" w:cs="Times New Roman"/>
          <w:sz w:val="24"/>
          <w:szCs w:val="24"/>
          <w:lang w:val="en-US"/>
        </w:rPr>
        <w:t>removed</w:t>
      </w:r>
      <w:r w:rsidRPr="005A255B">
        <w:rPr>
          <w:rFonts w:ascii="Times New Roman" w:eastAsia="Calibri" w:hAnsi="Times New Roman" w:cs="Times New Roman"/>
          <w:sz w:val="24"/>
          <w:szCs w:val="24"/>
          <w:lang w:val="en-US"/>
        </w:rPr>
        <w:t xml:space="preserve">; useful volume data storage increased </w:t>
      </w:r>
      <w:r>
        <w:rPr>
          <w:rFonts w:ascii="Times New Roman" w:eastAsia="Calibri" w:hAnsi="Times New Roman" w:cs="Times New Roman"/>
          <w:sz w:val="24"/>
          <w:szCs w:val="24"/>
          <w:lang w:val="en-US"/>
        </w:rPr>
        <w:t xml:space="preserve">up </w:t>
      </w:r>
      <w:r w:rsidRPr="005A255B">
        <w:rPr>
          <w:rFonts w:ascii="Times New Roman" w:eastAsia="Calibri" w:hAnsi="Times New Roman" w:cs="Times New Roman"/>
          <w:sz w:val="24"/>
          <w:szCs w:val="24"/>
          <w:lang w:val="en-US"/>
        </w:rPr>
        <w:t>to 40 TB, the transition to the new version of the software Symantec Backup Exec 2012 was implemented.</w:t>
      </w:r>
    </w:p>
    <w:p w:rsidR="00D55472" w:rsidRPr="005A255B" w:rsidRDefault="00D55472" w:rsidP="00D55472">
      <w:pPr>
        <w:autoSpaceDN w:val="0"/>
        <w:spacing w:after="120" w:line="240" w:lineRule="auto"/>
        <w:ind w:firstLine="567"/>
        <w:jc w:val="both"/>
        <w:rPr>
          <w:rFonts w:ascii="Times New Roman" w:eastAsia="Calibri" w:hAnsi="Times New Roman" w:cs="Times New Roman"/>
          <w:sz w:val="24"/>
          <w:szCs w:val="24"/>
          <w:lang w:val="en-US"/>
        </w:rPr>
      </w:pPr>
      <w:r w:rsidRPr="005A255B">
        <w:rPr>
          <w:rFonts w:ascii="Times New Roman" w:eastAsia="Calibri" w:hAnsi="Times New Roman" w:cs="Times New Roman"/>
          <w:sz w:val="24"/>
          <w:szCs w:val="24"/>
          <w:lang w:val="en-US"/>
        </w:rPr>
        <w:t>Replacing/installing, transfer of operating systems for the</w:t>
      </w:r>
      <w:r>
        <w:rPr>
          <w:rFonts w:ascii="Times New Roman" w:eastAsia="Calibri" w:hAnsi="Times New Roman" w:cs="Times New Roman"/>
          <w:sz w:val="24"/>
          <w:szCs w:val="24"/>
          <w:lang w:val="en-US"/>
        </w:rPr>
        <w:t xml:space="preserve"> NCC</w:t>
      </w:r>
      <w:r w:rsidRPr="005A255B">
        <w:rPr>
          <w:rFonts w:ascii="Times New Roman" w:eastAsia="Calibri" w:hAnsi="Times New Roman" w:cs="Times New Roman"/>
          <w:sz w:val="24"/>
          <w:szCs w:val="24"/>
          <w:lang w:val="en-US"/>
        </w:rPr>
        <w:t xml:space="preserve"> workers was performed. In 2013, a total of 439 units of computer equipment were installed.</w:t>
      </w:r>
    </w:p>
    <w:p w:rsidR="00D55472" w:rsidRPr="005A255B" w:rsidRDefault="00D55472" w:rsidP="00D55472">
      <w:pPr>
        <w:autoSpaceDN w:val="0"/>
        <w:spacing w:after="120" w:line="240" w:lineRule="auto"/>
        <w:ind w:firstLine="567"/>
        <w:jc w:val="both"/>
        <w:rPr>
          <w:rFonts w:ascii="Times New Roman" w:eastAsia="Calibri" w:hAnsi="Times New Roman" w:cs="Times New Roman"/>
          <w:sz w:val="24"/>
          <w:szCs w:val="24"/>
          <w:lang w:val="en-US"/>
        </w:rPr>
      </w:pPr>
      <w:r w:rsidRPr="00CD4068">
        <w:rPr>
          <w:rFonts w:ascii="Times New Roman" w:eastAsia="Calibri" w:hAnsi="Times New Roman" w:cs="Times New Roman"/>
          <w:sz w:val="24"/>
          <w:szCs w:val="24"/>
          <w:lang w:val="en-US"/>
        </w:rPr>
        <w:t xml:space="preserve">Implementation </w:t>
      </w:r>
      <w:r>
        <w:rPr>
          <w:rFonts w:ascii="Times New Roman" w:eastAsia="Calibri" w:hAnsi="Times New Roman" w:cs="Times New Roman"/>
          <w:sz w:val="24"/>
          <w:szCs w:val="24"/>
          <w:lang w:val="en-US"/>
        </w:rPr>
        <w:t xml:space="preserve">of </w:t>
      </w:r>
      <w:r w:rsidRPr="00CD4068">
        <w:rPr>
          <w:rFonts w:ascii="Times New Roman" w:eastAsia="Calibri" w:hAnsi="Times New Roman" w:cs="Times New Roman"/>
          <w:sz w:val="24"/>
          <w:szCs w:val="24"/>
          <w:lang w:val="en-US"/>
        </w:rPr>
        <w:t xml:space="preserve">the services of database management system (DBMS) ORACLE  </w:t>
      </w:r>
      <w:r>
        <w:rPr>
          <w:rFonts w:ascii="Times New Roman" w:eastAsia="Calibri" w:hAnsi="Times New Roman" w:cs="Times New Roman"/>
          <w:sz w:val="24"/>
          <w:szCs w:val="24"/>
          <w:lang w:val="en-US"/>
        </w:rPr>
        <w:t xml:space="preserve"> </w:t>
      </w:r>
      <w:r w:rsidRPr="00CD4068">
        <w:rPr>
          <w:rFonts w:ascii="Times New Roman" w:eastAsia="Calibri" w:hAnsi="Times New Roman" w:cs="Times New Roman"/>
          <w:sz w:val="24"/>
          <w:szCs w:val="24"/>
          <w:lang w:val="en-US"/>
        </w:rPr>
        <w:t xml:space="preserve">used for 9 IT </w:t>
      </w:r>
      <w:proofErr w:type="gramStart"/>
      <w:r w:rsidRPr="00CD4068">
        <w:rPr>
          <w:rFonts w:ascii="Times New Roman" w:eastAsia="Calibri" w:hAnsi="Times New Roman" w:cs="Times New Roman"/>
          <w:sz w:val="24"/>
          <w:szCs w:val="24"/>
          <w:lang w:val="en-US"/>
        </w:rPr>
        <w:t>systems</w:t>
      </w:r>
      <w:r>
        <w:rPr>
          <w:rFonts w:ascii="Times New Roman" w:eastAsia="Calibri" w:hAnsi="Times New Roman" w:cs="Times New Roman"/>
          <w:sz w:val="24"/>
          <w:szCs w:val="24"/>
          <w:lang w:val="en-US"/>
        </w:rPr>
        <w:t>,</w:t>
      </w:r>
      <w:proofErr w:type="gramEnd"/>
      <w:r w:rsidRPr="00CD406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was</w:t>
      </w:r>
      <w:r w:rsidRPr="00CD4068">
        <w:rPr>
          <w:rFonts w:ascii="Times New Roman" w:eastAsia="Calibri" w:hAnsi="Times New Roman" w:cs="Times New Roman"/>
          <w:sz w:val="24"/>
          <w:szCs w:val="24"/>
          <w:lang w:val="en-US"/>
        </w:rPr>
        <w:t xml:space="preserve"> continued.</w:t>
      </w:r>
      <w:r>
        <w:rPr>
          <w:rFonts w:ascii="Times New Roman" w:eastAsia="Calibri" w:hAnsi="Times New Roman" w:cs="Times New Roman"/>
          <w:sz w:val="24"/>
          <w:szCs w:val="24"/>
          <w:lang w:val="en-US"/>
        </w:rPr>
        <w:t xml:space="preserve"> </w:t>
      </w:r>
      <w:r w:rsidRPr="001B3DC6">
        <w:rPr>
          <w:rFonts w:ascii="Times New Roman" w:eastAsia="Calibri" w:hAnsi="Times New Roman" w:cs="Times New Roman"/>
          <w:sz w:val="24"/>
          <w:szCs w:val="24"/>
          <w:lang w:val="en-US"/>
        </w:rPr>
        <w:t>In main systems, IBS "Centaurus Omega" and Central Counterparty System DBMS ORACLE Partitioning</w:t>
      </w:r>
      <w:r w:rsidRPr="008D1E82">
        <w:rPr>
          <w:rFonts w:ascii="Times New Roman" w:eastAsia="Calibri" w:hAnsi="Times New Roman" w:cs="Times New Roman"/>
          <w:sz w:val="24"/>
          <w:szCs w:val="24"/>
          <w:lang w:val="en-US"/>
        </w:rPr>
        <w:t xml:space="preserve"> </w:t>
      </w:r>
      <w:r w:rsidRPr="001B3DC6">
        <w:rPr>
          <w:rFonts w:ascii="Times New Roman" w:eastAsia="Calibri" w:hAnsi="Times New Roman" w:cs="Times New Roman"/>
          <w:sz w:val="24"/>
          <w:szCs w:val="24"/>
          <w:lang w:val="en-US"/>
        </w:rPr>
        <w:t xml:space="preserve">was </w:t>
      </w:r>
      <w:r>
        <w:rPr>
          <w:rFonts w:ascii="Times New Roman" w:eastAsia="Calibri" w:hAnsi="Times New Roman" w:cs="Times New Roman"/>
          <w:sz w:val="24"/>
          <w:szCs w:val="24"/>
          <w:lang w:val="en-US"/>
        </w:rPr>
        <w:t>installed</w:t>
      </w:r>
      <w:r w:rsidRPr="001B3DC6">
        <w:rPr>
          <w:rFonts w:ascii="Times New Roman" w:eastAsia="Calibri" w:hAnsi="Times New Roman" w:cs="Times New Roman"/>
          <w:sz w:val="24"/>
          <w:szCs w:val="24"/>
          <w:lang w:val="en-US"/>
        </w:rPr>
        <w:t>, which reduce the time to restore the database and send the data from the tables in the state preventing changes of archive data.</w:t>
      </w:r>
      <w:r w:rsidR="00FB2750" w:rsidRPr="00FB2750">
        <w:rPr>
          <w:rFonts w:ascii="Times New Roman" w:eastAsia="Calibri" w:hAnsi="Times New Roman" w:cs="Times New Roman"/>
          <w:sz w:val="24"/>
          <w:szCs w:val="24"/>
          <w:lang w:val="en-US"/>
        </w:rPr>
        <w:t xml:space="preserve"> </w:t>
      </w:r>
      <w:r w:rsidRPr="005A255B">
        <w:rPr>
          <w:rFonts w:ascii="Times New Roman" w:eastAsia="Calibri" w:hAnsi="Times New Roman" w:cs="Times New Roman"/>
          <w:sz w:val="24"/>
          <w:szCs w:val="24"/>
          <w:lang w:val="en-US"/>
        </w:rPr>
        <w:t xml:space="preserve">Due to the increase in implemented modules in applications, the number of test databases was increased. The total volume followed database (DB) is 2.9 </w:t>
      </w:r>
      <w:proofErr w:type="gramStart"/>
      <w:r w:rsidRPr="005A255B">
        <w:rPr>
          <w:rFonts w:ascii="Times New Roman" w:eastAsia="Calibri" w:hAnsi="Times New Roman" w:cs="Times New Roman"/>
          <w:sz w:val="24"/>
          <w:szCs w:val="24"/>
          <w:lang w:val="en-US"/>
        </w:rPr>
        <w:t>TB,</w:t>
      </w:r>
      <w:proofErr w:type="gramEnd"/>
      <w:r w:rsidRPr="005A255B">
        <w:rPr>
          <w:rFonts w:ascii="Times New Roman" w:eastAsia="Calibri" w:hAnsi="Times New Roman" w:cs="Times New Roman"/>
          <w:sz w:val="24"/>
          <w:szCs w:val="24"/>
          <w:lang w:val="en-US"/>
        </w:rPr>
        <w:t xml:space="preserve"> the number of DB is 25.</w:t>
      </w:r>
    </w:p>
    <w:p w:rsidR="00D55472" w:rsidRPr="003161C5" w:rsidRDefault="00D55472" w:rsidP="009B23BD">
      <w:pPr>
        <w:tabs>
          <w:tab w:val="num" w:pos="567"/>
          <w:tab w:val="left" w:pos="600"/>
        </w:tabs>
        <w:spacing w:after="120" w:line="240" w:lineRule="auto"/>
        <w:ind w:firstLine="567"/>
        <w:jc w:val="both"/>
        <w:rPr>
          <w:rFonts w:ascii="Times New Roman" w:eastAsia="MS Mincho" w:hAnsi="Times New Roman" w:cs="Times New Roman"/>
          <w:sz w:val="24"/>
          <w:szCs w:val="24"/>
          <w:lang w:val="en-US" w:eastAsia="ja-JP"/>
        </w:rPr>
      </w:pPr>
    </w:p>
    <w:p w:rsidR="009B23BD" w:rsidRPr="003161C5" w:rsidRDefault="009B23BD" w:rsidP="009B23BD">
      <w:pPr>
        <w:widowControl w:val="0"/>
        <w:tabs>
          <w:tab w:val="left" w:pos="8820"/>
        </w:tabs>
        <w:overflowPunct w:val="0"/>
        <w:autoSpaceDE w:val="0"/>
        <w:autoSpaceDN w:val="0"/>
        <w:adjustRightInd w:val="0"/>
        <w:spacing w:before="100" w:after="120" w:line="240" w:lineRule="auto"/>
        <w:jc w:val="center"/>
        <w:textAlignment w:val="baseline"/>
        <w:rPr>
          <w:rFonts w:ascii="Times New Roman" w:eastAsia="Times New Roman" w:hAnsi="Times New Roman" w:cs="Times New Roman"/>
          <w:b/>
          <w:sz w:val="24"/>
          <w:szCs w:val="24"/>
          <w:lang w:val="en-US" w:eastAsia="ru-RU"/>
        </w:rPr>
      </w:pPr>
    </w:p>
    <w:p w:rsidR="009B23BD" w:rsidRPr="00961E31" w:rsidRDefault="009B23BD" w:rsidP="009B23BD">
      <w:pPr>
        <w:tabs>
          <w:tab w:val="num" w:pos="567"/>
          <w:tab w:val="left" w:pos="600"/>
        </w:tabs>
        <w:spacing w:after="120" w:line="240" w:lineRule="auto"/>
        <w:ind w:firstLine="567"/>
        <w:jc w:val="both"/>
        <w:rPr>
          <w:rFonts w:ascii="Times New Roman" w:eastAsia="MS Mincho" w:hAnsi="Times New Roman" w:cs="Times New Roman"/>
          <w:sz w:val="24"/>
          <w:szCs w:val="24"/>
          <w:lang w:val="en-US" w:eastAsia="ja-JP"/>
        </w:rPr>
      </w:pPr>
    </w:p>
    <w:p w:rsidR="009B23BD" w:rsidRPr="009B23BD" w:rsidRDefault="009B23BD" w:rsidP="009B23BD">
      <w:pPr>
        <w:pStyle w:val="af0"/>
        <w:keepNext/>
        <w:widowControl w:val="0"/>
        <w:overflowPunct w:val="0"/>
        <w:autoSpaceDE w:val="0"/>
        <w:autoSpaceDN w:val="0"/>
        <w:adjustRightInd w:val="0"/>
        <w:spacing w:before="100" w:after="120" w:line="240" w:lineRule="auto"/>
        <w:ind w:left="360"/>
        <w:textAlignment w:val="baseline"/>
        <w:outlineLvl w:val="0"/>
        <w:rPr>
          <w:rFonts w:ascii="Times New Roman" w:eastAsia="Times New Roman" w:hAnsi="Times New Roman" w:cs="Times New Roman"/>
          <w:b/>
          <w:bCs/>
          <w:kern w:val="32"/>
          <w:sz w:val="28"/>
          <w:szCs w:val="28"/>
          <w:lang w:val="en-US" w:eastAsia="ru-RU"/>
        </w:rPr>
      </w:pPr>
    </w:p>
    <w:p w:rsidR="009B23BD" w:rsidRPr="00AA0377" w:rsidRDefault="009B23BD" w:rsidP="00AA0377">
      <w:pPr>
        <w:widowControl w:val="0"/>
        <w:autoSpaceDE w:val="0"/>
        <w:autoSpaceDN w:val="0"/>
        <w:adjustRightInd w:val="0"/>
        <w:spacing w:after="120" w:line="240" w:lineRule="auto"/>
        <w:ind w:firstLine="567"/>
        <w:jc w:val="both"/>
        <w:rPr>
          <w:rFonts w:ascii="Times New Roman" w:eastAsia="Calibri" w:hAnsi="Times New Roman" w:cs="Times New Roman"/>
          <w:sz w:val="24"/>
          <w:szCs w:val="24"/>
          <w:lang w:val="en-US"/>
        </w:rPr>
      </w:pPr>
    </w:p>
    <w:p w:rsidR="00AA0377" w:rsidRPr="00AA0377" w:rsidRDefault="00AA0377" w:rsidP="00AA0377">
      <w:pPr>
        <w:widowControl w:val="0"/>
        <w:tabs>
          <w:tab w:val="left" w:pos="8820"/>
        </w:tabs>
        <w:overflowPunct w:val="0"/>
        <w:autoSpaceDE w:val="0"/>
        <w:autoSpaceDN w:val="0"/>
        <w:adjustRightInd w:val="0"/>
        <w:spacing w:before="100" w:after="120" w:line="240" w:lineRule="auto"/>
        <w:jc w:val="center"/>
        <w:textAlignment w:val="baseline"/>
        <w:rPr>
          <w:rFonts w:ascii="Times New Roman" w:eastAsia="Times New Roman" w:hAnsi="Times New Roman" w:cs="Times New Roman"/>
          <w:b/>
          <w:sz w:val="24"/>
          <w:szCs w:val="24"/>
          <w:lang w:val="en-US" w:eastAsia="ru-RU"/>
        </w:rPr>
      </w:pPr>
    </w:p>
    <w:p w:rsidR="00AA0377" w:rsidRPr="00AA0377" w:rsidRDefault="00AA0377" w:rsidP="00AA0377">
      <w:pPr>
        <w:keepNext/>
        <w:widowControl w:val="0"/>
        <w:overflowPunct w:val="0"/>
        <w:autoSpaceDE w:val="0"/>
        <w:autoSpaceDN w:val="0"/>
        <w:adjustRightInd w:val="0"/>
        <w:spacing w:before="100" w:after="120" w:line="240" w:lineRule="auto"/>
        <w:jc w:val="center"/>
        <w:textAlignment w:val="baseline"/>
        <w:outlineLvl w:val="0"/>
        <w:rPr>
          <w:rFonts w:ascii="Times New Roman" w:eastAsia="Times New Roman" w:hAnsi="Times New Roman" w:cs="Times New Roman"/>
          <w:b/>
          <w:bCs/>
          <w:kern w:val="32"/>
          <w:sz w:val="28"/>
          <w:szCs w:val="28"/>
          <w:lang w:val="en-US" w:eastAsia="ru-RU"/>
        </w:rPr>
      </w:pPr>
      <w:bookmarkStart w:id="8" w:name="_Toc391636107"/>
      <w:r>
        <w:rPr>
          <w:rFonts w:ascii="Times New Roman" w:eastAsia="Times New Roman" w:hAnsi="Times New Roman" w:cs="Times New Roman"/>
          <w:b/>
          <w:bCs/>
          <w:kern w:val="32"/>
          <w:sz w:val="28"/>
          <w:szCs w:val="28"/>
          <w:lang w:val="en-US" w:eastAsia="ru-RU"/>
        </w:rPr>
        <w:t xml:space="preserve">9. </w:t>
      </w:r>
      <w:r w:rsidRPr="00AA0377">
        <w:rPr>
          <w:rFonts w:ascii="Times New Roman" w:eastAsia="Times New Roman" w:hAnsi="Times New Roman" w:cs="Times New Roman"/>
          <w:b/>
          <w:bCs/>
          <w:kern w:val="32"/>
          <w:sz w:val="28"/>
          <w:szCs w:val="28"/>
          <w:lang w:val="en-US" w:eastAsia="ru-RU"/>
        </w:rPr>
        <w:t>Main financial highlights</w:t>
      </w:r>
      <w:bookmarkEnd w:id="8"/>
    </w:p>
    <w:p w:rsidR="00AA0377" w:rsidRPr="00AA0377" w:rsidRDefault="00AA0377" w:rsidP="00AA0377">
      <w:pPr>
        <w:widowControl w:val="0"/>
        <w:tabs>
          <w:tab w:val="left" w:pos="8820"/>
        </w:tabs>
        <w:overflowPunct w:val="0"/>
        <w:autoSpaceDE w:val="0"/>
        <w:autoSpaceDN w:val="0"/>
        <w:adjustRightInd w:val="0"/>
        <w:spacing w:before="100" w:after="120" w:line="240" w:lineRule="auto"/>
        <w:jc w:val="center"/>
        <w:textAlignment w:val="baseline"/>
        <w:rPr>
          <w:rFonts w:ascii="Times New Roman" w:eastAsia="Times New Roman" w:hAnsi="Times New Roman" w:cs="Times New Roman"/>
          <w:b/>
          <w:sz w:val="24"/>
          <w:szCs w:val="24"/>
          <w:lang w:val="en-US" w:eastAsia="ru-RU"/>
        </w:rPr>
      </w:pPr>
    </w:p>
    <w:tbl>
      <w:tblPr>
        <w:tblW w:w="6662" w:type="dxa"/>
        <w:tblInd w:w="1242" w:type="dxa"/>
        <w:tblLook w:val="04A0" w:firstRow="1" w:lastRow="0" w:firstColumn="1" w:lastColumn="0" w:noHBand="0" w:noVBand="1"/>
      </w:tblPr>
      <w:tblGrid>
        <w:gridCol w:w="4224"/>
        <w:gridCol w:w="2438"/>
      </w:tblGrid>
      <w:tr w:rsidR="00AA0377" w:rsidRPr="009F55B7" w:rsidTr="00C8135A">
        <w:trPr>
          <w:trHeight w:val="300"/>
        </w:trPr>
        <w:tc>
          <w:tcPr>
            <w:tcW w:w="6662" w:type="dxa"/>
            <w:gridSpan w:val="2"/>
            <w:shd w:val="clear" w:color="auto" w:fill="auto"/>
            <w:noWrap/>
            <w:vAlign w:val="bottom"/>
            <w:hideMark/>
          </w:tcPr>
          <w:p w:rsidR="00AA0377" w:rsidRPr="00AA0377" w:rsidRDefault="00AA0377" w:rsidP="00C304CF">
            <w:pPr>
              <w:spacing w:after="0" w:line="240" w:lineRule="auto"/>
              <w:ind w:left="34"/>
              <w:jc w:val="both"/>
              <w:rPr>
                <w:rFonts w:ascii="Times New Roman" w:eastAsia="Times New Roman" w:hAnsi="Times New Roman" w:cs="Times New Roman"/>
                <w:b/>
                <w:iCs/>
                <w:sz w:val="24"/>
                <w:szCs w:val="24"/>
                <w:lang w:val="en-US" w:eastAsia="ru-RU"/>
              </w:rPr>
            </w:pPr>
            <w:r w:rsidRPr="00AA0377">
              <w:rPr>
                <w:rFonts w:ascii="Times New Roman" w:hAnsi="Times New Roman" w:cs="Times New Roman"/>
                <w:b/>
                <w:sz w:val="24"/>
                <w:szCs w:val="24"/>
                <w:lang w:val="en-US"/>
              </w:rPr>
              <w:t xml:space="preserve">Main financial highlights of NCC as </w:t>
            </w:r>
            <w:r w:rsidR="00C304CF">
              <w:rPr>
                <w:rFonts w:ascii="Times New Roman" w:hAnsi="Times New Roman" w:cs="Times New Roman"/>
                <w:b/>
                <w:sz w:val="24"/>
                <w:szCs w:val="24"/>
                <w:lang w:val="en-US"/>
              </w:rPr>
              <w:t>of</w:t>
            </w:r>
            <w:r w:rsidRPr="00AA0377">
              <w:rPr>
                <w:rFonts w:ascii="Times New Roman" w:hAnsi="Times New Roman" w:cs="Times New Roman"/>
                <w:b/>
                <w:sz w:val="24"/>
                <w:szCs w:val="24"/>
                <w:lang w:val="en-US"/>
              </w:rPr>
              <w:t xml:space="preserve"> 1 January 2014 (in RUB'000)</w:t>
            </w:r>
          </w:p>
        </w:tc>
      </w:tr>
      <w:tr w:rsidR="00AA0377" w:rsidRPr="009F55B7" w:rsidTr="00C8135A">
        <w:trPr>
          <w:trHeight w:val="315"/>
        </w:trPr>
        <w:tc>
          <w:tcPr>
            <w:tcW w:w="4224" w:type="dxa"/>
            <w:shd w:val="clear" w:color="auto" w:fill="auto"/>
            <w:noWrap/>
            <w:vAlign w:val="bottom"/>
            <w:hideMark/>
          </w:tcPr>
          <w:p w:rsidR="00AA0377" w:rsidRPr="00AA0377" w:rsidRDefault="00AA0377" w:rsidP="00AA0377">
            <w:pPr>
              <w:spacing w:after="0" w:line="240" w:lineRule="auto"/>
              <w:ind w:left="34"/>
              <w:jc w:val="both"/>
              <w:rPr>
                <w:rFonts w:ascii="Times New Roman" w:eastAsia="Times New Roman" w:hAnsi="Times New Roman" w:cs="Times New Roman"/>
                <w:b/>
                <w:sz w:val="24"/>
                <w:szCs w:val="24"/>
                <w:lang w:val="en-US" w:eastAsia="ru-RU"/>
              </w:rPr>
            </w:pPr>
          </w:p>
        </w:tc>
        <w:tc>
          <w:tcPr>
            <w:tcW w:w="2438" w:type="dxa"/>
            <w:shd w:val="clear" w:color="auto" w:fill="auto"/>
            <w:noWrap/>
            <w:vAlign w:val="bottom"/>
            <w:hideMark/>
          </w:tcPr>
          <w:p w:rsidR="00AA0377" w:rsidRPr="00AA0377" w:rsidRDefault="00AA0377" w:rsidP="00AA0377">
            <w:pPr>
              <w:spacing w:after="0" w:line="240" w:lineRule="auto"/>
              <w:ind w:left="34"/>
              <w:jc w:val="both"/>
              <w:rPr>
                <w:rFonts w:ascii="Times New Roman" w:eastAsia="Times New Roman" w:hAnsi="Times New Roman" w:cs="Times New Roman"/>
                <w:b/>
                <w:sz w:val="24"/>
                <w:szCs w:val="24"/>
                <w:lang w:val="en-US" w:eastAsia="ru-RU"/>
              </w:rPr>
            </w:pPr>
          </w:p>
        </w:tc>
      </w:tr>
      <w:tr w:rsidR="00AA0377" w:rsidRPr="009F55B7" w:rsidTr="00C8135A">
        <w:trPr>
          <w:trHeight w:val="315"/>
        </w:trPr>
        <w:tc>
          <w:tcPr>
            <w:tcW w:w="4224" w:type="dxa"/>
            <w:shd w:val="clear" w:color="auto" w:fill="auto"/>
            <w:noWrap/>
            <w:vAlign w:val="bottom"/>
            <w:hideMark/>
          </w:tcPr>
          <w:p w:rsidR="00AA0377" w:rsidRPr="00AA0377" w:rsidRDefault="00AA0377" w:rsidP="00AA0377">
            <w:pPr>
              <w:spacing w:after="0" w:line="240" w:lineRule="auto"/>
              <w:ind w:left="34"/>
              <w:jc w:val="both"/>
              <w:rPr>
                <w:rFonts w:ascii="Times New Roman" w:eastAsia="Times New Roman" w:hAnsi="Times New Roman" w:cs="Times New Roman"/>
                <w:sz w:val="24"/>
                <w:szCs w:val="24"/>
                <w:lang w:val="en-US" w:eastAsia="ru-RU"/>
              </w:rPr>
            </w:pPr>
          </w:p>
        </w:tc>
        <w:tc>
          <w:tcPr>
            <w:tcW w:w="2438" w:type="dxa"/>
            <w:shd w:val="clear" w:color="auto" w:fill="auto"/>
            <w:noWrap/>
            <w:vAlign w:val="bottom"/>
            <w:hideMark/>
          </w:tcPr>
          <w:p w:rsidR="00AA0377" w:rsidRPr="00AA0377" w:rsidRDefault="00AA0377" w:rsidP="00AA0377">
            <w:pPr>
              <w:spacing w:after="0" w:line="240" w:lineRule="auto"/>
              <w:ind w:left="34"/>
              <w:jc w:val="both"/>
              <w:rPr>
                <w:rFonts w:ascii="Times New Roman" w:eastAsia="Times New Roman" w:hAnsi="Times New Roman" w:cs="Times New Roman"/>
                <w:sz w:val="24"/>
                <w:szCs w:val="24"/>
                <w:lang w:val="en-US" w:eastAsia="ru-RU"/>
              </w:rPr>
            </w:pPr>
          </w:p>
        </w:tc>
      </w:tr>
      <w:tr w:rsidR="00AA0377" w:rsidRPr="00AA0377" w:rsidTr="00C8135A">
        <w:trPr>
          <w:trHeight w:val="315"/>
        </w:trPr>
        <w:tc>
          <w:tcPr>
            <w:tcW w:w="4224" w:type="dxa"/>
            <w:shd w:val="clear" w:color="auto" w:fill="auto"/>
            <w:noWrap/>
            <w:vAlign w:val="bottom"/>
            <w:hideMark/>
          </w:tcPr>
          <w:p w:rsidR="00AA0377" w:rsidRPr="00AA0377" w:rsidRDefault="00AA0377" w:rsidP="00AA0377">
            <w:pPr>
              <w:spacing w:after="0" w:line="240" w:lineRule="auto"/>
              <w:ind w:left="34"/>
              <w:jc w:val="both"/>
              <w:rPr>
                <w:rFonts w:ascii="Times New Roman" w:eastAsia="Times New Roman" w:hAnsi="Times New Roman" w:cs="Times New Roman"/>
                <w:b/>
                <w:bCs/>
                <w:sz w:val="24"/>
                <w:szCs w:val="24"/>
                <w:lang w:val="en-US"/>
              </w:rPr>
            </w:pPr>
            <w:r w:rsidRPr="00AA0377">
              <w:rPr>
                <w:rFonts w:ascii="Times New Roman" w:hAnsi="Times New Roman" w:cs="Times New Roman"/>
                <w:b/>
                <w:sz w:val="24"/>
                <w:szCs w:val="24"/>
                <w:lang w:val="en-US"/>
              </w:rPr>
              <w:t>Net assets</w:t>
            </w:r>
          </w:p>
        </w:tc>
        <w:tc>
          <w:tcPr>
            <w:tcW w:w="2438" w:type="dxa"/>
            <w:shd w:val="clear" w:color="auto" w:fill="auto"/>
            <w:noWrap/>
            <w:vAlign w:val="bottom"/>
            <w:hideMark/>
          </w:tcPr>
          <w:p w:rsidR="00AA0377" w:rsidRPr="00AA0377" w:rsidRDefault="00AA0377" w:rsidP="00AA0377">
            <w:pPr>
              <w:spacing w:after="0" w:line="240" w:lineRule="auto"/>
              <w:ind w:left="34"/>
              <w:jc w:val="both"/>
              <w:rPr>
                <w:rFonts w:ascii="Times New Roman" w:eastAsia="Times New Roman" w:hAnsi="Times New Roman" w:cs="Times New Roman"/>
                <w:b/>
                <w:bCs/>
                <w:sz w:val="24"/>
                <w:szCs w:val="24"/>
                <w:lang w:val="en-US" w:eastAsia="ru-RU"/>
              </w:rPr>
            </w:pPr>
            <w:r w:rsidRPr="00AA0377">
              <w:rPr>
                <w:rFonts w:ascii="Times New Roman" w:eastAsia="Times New Roman" w:hAnsi="Times New Roman" w:cs="Times New Roman"/>
                <w:b/>
                <w:bCs/>
                <w:sz w:val="24"/>
                <w:szCs w:val="24"/>
                <w:lang w:val="en-US" w:eastAsia="ru-RU"/>
              </w:rPr>
              <w:t>319,623,521</w:t>
            </w:r>
          </w:p>
        </w:tc>
      </w:tr>
      <w:tr w:rsidR="00AA0377" w:rsidRPr="00AA0377" w:rsidTr="00C8135A">
        <w:trPr>
          <w:trHeight w:val="300"/>
        </w:trPr>
        <w:tc>
          <w:tcPr>
            <w:tcW w:w="4224" w:type="dxa"/>
            <w:shd w:val="clear" w:color="auto" w:fill="auto"/>
            <w:noWrap/>
            <w:vAlign w:val="bottom"/>
            <w:hideMark/>
          </w:tcPr>
          <w:p w:rsidR="00AA0377" w:rsidRPr="00AA0377" w:rsidRDefault="00AA0377" w:rsidP="00AA0377">
            <w:pPr>
              <w:spacing w:after="0" w:line="240" w:lineRule="auto"/>
              <w:ind w:left="34"/>
              <w:jc w:val="both"/>
              <w:rPr>
                <w:rFonts w:ascii="Times New Roman" w:eastAsia="Times New Roman" w:hAnsi="Times New Roman" w:cs="Times New Roman"/>
                <w:b/>
                <w:bCs/>
                <w:sz w:val="24"/>
                <w:szCs w:val="24"/>
                <w:lang w:val="en-US"/>
              </w:rPr>
            </w:pPr>
            <w:r w:rsidRPr="00AA0377">
              <w:rPr>
                <w:rFonts w:ascii="Times New Roman" w:hAnsi="Times New Roman" w:cs="Times New Roman"/>
                <w:b/>
                <w:sz w:val="24"/>
                <w:szCs w:val="24"/>
                <w:lang w:val="en-US"/>
              </w:rPr>
              <w:t>Net income, total</w:t>
            </w:r>
          </w:p>
        </w:tc>
        <w:tc>
          <w:tcPr>
            <w:tcW w:w="2438" w:type="dxa"/>
            <w:shd w:val="clear" w:color="auto" w:fill="auto"/>
            <w:noWrap/>
            <w:vAlign w:val="bottom"/>
            <w:hideMark/>
          </w:tcPr>
          <w:p w:rsidR="00AA0377" w:rsidRPr="00AA0377" w:rsidRDefault="00AA0377" w:rsidP="00AA0377">
            <w:pPr>
              <w:spacing w:after="0" w:line="240" w:lineRule="auto"/>
              <w:ind w:left="34"/>
              <w:jc w:val="both"/>
              <w:rPr>
                <w:rFonts w:ascii="Times New Roman" w:eastAsia="Times New Roman" w:hAnsi="Times New Roman" w:cs="Times New Roman"/>
                <w:b/>
                <w:bCs/>
                <w:sz w:val="24"/>
                <w:szCs w:val="24"/>
                <w:lang w:val="en-US" w:eastAsia="ru-RU"/>
              </w:rPr>
            </w:pPr>
            <w:r w:rsidRPr="00AA0377">
              <w:rPr>
                <w:rFonts w:ascii="Times New Roman" w:eastAsia="Times New Roman" w:hAnsi="Times New Roman" w:cs="Times New Roman"/>
                <w:b/>
                <w:bCs/>
                <w:sz w:val="24"/>
                <w:szCs w:val="24"/>
                <w:lang w:val="en-US" w:eastAsia="ru-RU"/>
              </w:rPr>
              <w:t>9,251,089</w:t>
            </w:r>
          </w:p>
        </w:tc>
      </w:tr>
      <w:tr w:rsidR="00AA0377" w:rsidRPr="00AA0377" w:rsidTr="00C8135A">
        <w:trPr>
          <w:trHeight w:val="300"/>
        </w:trPr>
        <w:tc>
          <w:tcPr>
            <w:tcW w:w="4224" w:type="dxa"/>
            <w:shd w:val="clear" w:color="auto" w:fill="auto"/>
            <w:noWrap/>
            <w:vAlign w:val="bottom"/>
            <w:hideMark/>
          </w:tcPr>
          <w:p w:rsidR="00AA0377" w:rsidRPr="00AA0377" w:rsidRDefault="00AA0377" w:rsidP="00AA0377">
            <w:pPr>
              <w:spacing w:after="0" w:line="240" w:lineRule="auto"/>
              <w:ind w:left="34"/>
              <w:jc w:val="both"/>
              <w:rPr>
                <w:rFonts w:ascii="Times New Roman" w:eastAsia="Times New Roman" w:hAnsi="Times New Roman" w:cs="Times New Roman"/>
                <w:sz w:val="24"/>
                <w:szCs w:val="24"/>
                <w:lang w:val="en-US"/>
              </w:rPr>
            </w:pPr>
            <w:r w:rsidRPr="00AA0377">
              <w:rPr>
                <w:rFonts w:ascii="Times New Roman" w:hAnsi="Times New Roman" w:cs="Times New Roman"/>
                <w:sz w:val="24"/>
                <w:szCs w:val="24"/>
                <w:lang w:val="en-US"/>
              </w:rPr>
              <w:t>including</w:t>
            </w:r>
          </w:p>
        </w:tc>
        <w:tc>
          <w:tcPr>
            <w:tcW w:w="2438" w:type="dxa"/>
            <w:shd w:val="clear" w:color="auto" w:fill="auto"/>
            <w:noWrap/>
            <w:vAlign w:val="bottom"/>
            <w:hideMark/>
          </w:tcPr>
          <w:p w:rsidR="00AA0377" w:rsidRPr="00AA0377" w:rsidRDefault="00AA0377" w:rsidP="00AA0377">
            <w:pPr>
              <w:spacing w:after="0" w:line="240" w:lineRule="auto"/>
              <w:ind w:left="34"/>
              <w:jc w:val="both"/>
              <w:rPr>
                <w:rFonts w:ascii="Times New Roman" w:eastAsia="Times New Roman" w:hAnsi="Times New Roman" w:cs="Times New Roman"/>
                <w:sz w:val="24"/>
                <w:szCs w:val="24"/>
                <w:lang w:val="en-US" w:eastAsia="ru-RU"/>
              </w:rPr>
            </w:pPr>
          </w:p>
        </w:tc>
      </w:tr>
      <w:tr w:rsidR="00AA0377" w:rsidRPr="00AA0377" w:rsidTr="00C8135A">
        <w:trPr>
          <w:trHeight w:val="300"/>
        </w:trPr>
        <w:tc>
          <w:tcPr>
            <w:tcW w:w="4224" w:type="dxa"/>
            <w:shd w:val="clear" w:color="auto" w:fill="auto"/>
            <w:noWrap/>
            <w:vAlign w:val="bottom"/>
            <w:hideMark/>
          </w:tcPr>
          <w:p w:rsidR="00AA0377" w:rsidRPr="00AA0377" w:rsidRDefault="00AA0377" w:rsidP="00AA0377">
            <w:pPr>
              <w:spacing w:after="0" w:line="240" w:lineRule="auto"/>
              <w:ind w:left="34"/>
              <w:jc w:val="both"/>
              <w:rPr>
                <w:rFonts w:ascii="Times New Roman" w:eastAsia="Times New Roman" w:hAnsi="Times New Roman" w:cs="Times New Roman"/>
                <w:sz w:val="24"/>
                <w:szCs w:val="24"/>
                <w:lang w:val="en-US"/>
              </w:rPr>
            </w:pPr>
            <w:r w:rsidRPr="00AA0377">
              <w:rPr>
                <w:rFonts w:ascii="Times New Roman" w:hAnsi="Times New Roman" w:cs="Times New Roman"/>
                <w:sz w:val="24"/>
                <w:szCs w:val="24"/>
                <w:lang w:val="en-US"/>
              </w:rPr>
              <w:t>net interest income</w:t>
            </w:r>
          </w:p>
        </w:tc>
        <w:tc>
          <w:tcPr>
            <w:tcW w:w="2438" w:type="dxa"/>
            <w:shd w:val="clear" w:color="auto" w:fill="auto"/>
            <w:noWrap/>
            <w:vAlign w:val="bottom"/>
            <w:hideMark/>
          </w:tcPr>
          <w:p w:rsidR="00AA0377" w:rsidRPr="00AA0377" w:rsidRDefault="00AA0377" w:rsidP="00AA0377">
            <w:pPr>
              <w:spacing w:after="0" w:line="240" w:lineRule="auto"/>
              <w:ind w:left="34"/>
              <w:jc w:val="both"/>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6,217,455</w:t>
            </w:r>
          </w:p>
        </w:tc>
      </w:tr>
      <w:tr w:rsidR="00AA0377" w:rsidRPr="00AA0377" w:rsidTr="00C8135A">
        <w:trPr>
          <w:trHeight w:val="300"/>
        </w:trPr>
        <w:tc>
          <w:tcPr>
            <w:tcW w:w="4224" w:type="dxa"/>
            <w:shd w:val="clear" w:color="auto" w:fill="auto"/>
            <w:noWrap/>
            <w:vAlign w:val="bottom"/>
            <w:hideMark/>
          </w:tcPr>
          <w:p w:rsidR="00AA0377" w:rsidRPr="00AA0377" w:rsidRDefault="00AA0377" w:rsidP="00AA0377">
            <w:pPr>
              <w:spacing w:after="0" w:line="240" w:lineRule="auto"/>
              <w:ind w:left="34"/>
              <w:jc w:val="both"/>
              <w:rPr>
                <w:rFonts w:ascii="Times New Roman" w:eastAsia="Times New Roman" w:hAnsi="Times New Roman" w:cs="Times New Roman"/>
                <w:sz w:val="24"/>
                <w:szCs w:val="24"/>
                <w:lang w:val="en-US"/>
              </w:rPr>
            </w:pPr>
            <w:r w:rsidRPr="00AA0377">
              <w:rPr>
                <w:rFonts w:ascii="Times New Roman" w:hAnsi="Times New Roman" w:cs="Times New Roman"/>
                <w:sz w:val="24"/>
                <w:szCs w:val="24"/>
                <w:lang w:val="en-US"/>
              </w:rPr>
              <w:t>commission income</w:t>
            </w:r>
          </w:p>
        </w:tc>
        <w:tc>
          <w:tcPr>
            <w:tcW w:w="2438" w:type="dxa"/>
            <w:shd w:val="clear" w:color="auto" w:fill="auto"/>
            <w:noWrap/>
            <w:vAlign w:val="bottom"/>
            <w:hideMark/>
          </w:tcPr>
          <w:p w:rsidR="00AA0377" w:rsidRPr="00AA0377" w:rsidRDefault="00AA0377" w:rsidP="00AA0377">
            <w:pPr>
              <w:spacing w:after="0" w:line="240" w:lineRule="auto"/>
              <w:ind w:left="34"/>
              <w:jc w:val="both"/>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3,449,174</w:t>
            </w:r>
          </w:p>
        </w:tc>
      </w:tr>
      <w:tr w:rsidR="00AA0377" w:rsidRPr="00AA0377" w:rsidTr="00C8135A">
        <w:trPr>
          <w:trHeight w:val="300"/>
        </w:trPr>
        <w:tc>
          <w:tcPr>
            <w:tcW w:w="4224" w:type="dxa"/>
            <w:shd w:val="clear" w:color="auto" w:fill="auto"/>
            <w:noWrap/>
            <w:vAlign w:val="bottom"/>
            <w:hideMark/>
          </w:tcPr>
          <w:p w:rsidR="00AA0377" w:rsidRPr="00AA0377" w:rsidRDefault="00AA0377" w:rsidP="00AA0377">
            <w:pPr>
              <w:spacing w:after="0" w:line="240" w:lineRule="auto"/>
              <w:ind w:left="34"/>
              <w:jc w:val="both"/>
              <w:rPr>
                <w:rFonts w:ascii="Times New Roman" w:eastAsia="Times New Roman" w:hAnsi="Times New Roman" w:cs="Times New Roman"/>
                <w:b/>
                <w:bCs/>
                <w:sz w:val="24"/>
                <w:szCs w:val="24"/>
                <w:lang w:val="en-US"/>
              </w:rPr>
            </w:pPr>
            <w:r w:rsidRPr="00AA0377">
              <w:rPr>
                <w:rFonts w:ascii="Times New Roman" w:hAnsi="Times New Roman" w:cs="Times New Roman"/>
                <w:b/>
                <w:sz w:val="24"/>
                <w:szCs w:val="24"/>
                <w:lang w:val="en-US"/>
              </w:rPr>
              <w:t>Operating expenses</w:t>
            </w:r>
          </w:p>
        </w:tc>
        <w:tc>
          <w:tcPr>
            <w:tcW w:w="2438" w:type="dxa"/>
            <w:shd w:val="clear" w:color="auto" w:fill="auto"/>
            <w:noWrap/>
            <w:vAlign w:val="bottom"/>
            <w:hideMark/>
          </w:tcPr>
          <w:p w:rsidR="00AA0377" w:rsidRPr="00AA0377" w:rsidRDefault="00AA0377" w:rsidP="00AA0377">
            <w:pPr>
              <w:spacing w:after="0" w:line="240" w:lineRule="auto"/>
              <w:ind w:left="34"/>
              <w:jc w:val="both"/>
              <w:rPr>
                <w:rFonts w:ascii="Times New Roman" w:eastAsia="Times New Roman" w:hAnsi="Times New Roman" w:cs="Times New Roman"/>
                <w:b/>
                <w:bCs/>
                <w:sz w:val="24"/>
                <w:szCs w:val="24"/>
                <w:lang w:val="en-US" w:eastAsia="ru-RU"/>
              </w:rPr>
            </w:pPr>
            <w:r w:rsidRPr="00AA0377">
              <w:rPr>
                <w:rFonts w:ascii="Times New Roman" w:eastAsia="Times New Roman" w:hAnsi="Times New Roman" w:cs="Times New Roman"/>
                <w:b/>
                <w:bCs/>
                <w:sz w:val="24"/>
                <w:szCs w:val="24"/>
                <w:lang w:val="en-US" w:eastAsia="ru-RU"/>
              </w:rPr>
              <w:t>1,271,056</w:t>
            </w:r>
          </w:p>
        </w:tc>
      </w:tr>
      <w:tr w:rsidR="00AA0377" w:rsidRPr="00AA0377" w:rsidTr="00C8135A">
        <w:trPr>
          <w:trHeight w:val="300"/>
        </w:trPr>
        <w:tc>
          <w:tcPr>
            <w:tcW w:w="4224" w:type="dxa"/>
            <w:shd w:val="clear" w:color="auto" w:fill="auto"/>
            <w:noWrap/>
            <w:vAlign w:val="bottom"/>
            <w:hideMark/>
          </w:tcPr>
          <w:p w:rsidR="00AA0377" w:rsidRPr="00AA0377" w:rsidRDefault="00AA0377" w:rsidP="00AA0377">
            <w:pPr>
              <w:spacing w:after="0" w:line="240" w:lineRule="auto"/>
              <w:ind w:left="34"/>
              <w:jc w:val="both"/>
              <w:rPr>
                <w:rFonts w:ascii="Times New Roman" w:eastAsia="Times New Roman" w:hAnsi="Times New Roman" w:cs="Times New Roman"/>
                <w:b/>
                <w:bCs/>
                <w:sz w:val="24"/>
                <w:szCs w:val="24"/>
                <w:lang w:val="en-US"/>
              </w:rPr>
            </w:pPr>
            <w:r w:rsidRPr="00AA0377">
              <w:rPr>
                <w:rFonts w:ascii="Times New Roman" w:hAnsi="Times New Roman" w:cs="Times New Roman"/>
                <w:b/>
                <w:sz w:val="24"/>
                <w:szCs w:val="24"/>
                <w:lang w:val="en-US"/>
              </w:rPr>
              <w:t>Profit before tax</w:t>
            </w:r>
          </w:p>
        </w:tc>
        <w:tc>
          <w:tcPr>
            <w:tcW w:w="2438" w:type="dxa"/>
            <w:shd w:val="clear" w:color="auto" w:fill="auto"/>
            <w:noWrap/>
            <w:vAlign w:val="bottom"/>
            <w:hideMark/>
          </w:tcPr>
          <w:p w:rsidR="00AA0377" w:rsidRPr="00AA0377" w:rsidRDefault="00AA0377" w:rsidP="00AA0377">
            <w:pPr>
              <w:spacing w:after="0" w:line="240" w:lineRule="auto"/>
              <w:ind w:left="34"/>
              <w:jc w:val="both"/>
              <w:rPr>
                <w:rFonts w:ascii="Times New Roman" w:eastAsia="Times New Roman" w:hAnsi="Times New Roman" w:cs="Times New Roman"/>
                <w:b/>
                <w:bCs/>
                <w:sz w:val="24"/>
                <w:szCs w:val="24"/>
                <w:lang w:val="en-US" w:eastAsia="ru-RU"/>
              </w:rPr>
            </w:pPr>
            <w:r w:rsidRPr="00AA0377">
              <w:rPr>
                <w:rFonts w:ascii="Times New Roman" w:eastAsia="Times New Roman" w:hAnsi="Times New Roman" w:cs="Times New Roman"/>
                <w:b/>
                <w:bCs/>
                <w:sz w:val="24"/>
                <w:szCs w:val="24"/>
                <w:lang w:val="en-US" w:eastAsia="ru-RU"/>
              </w:rPr>
              <w:t>7,980,033</w:t>
            </w:r>
          </w:p>
        </w:tc>
      </w:tr>
      <w:tr w:rsidR="00AA0377" w:rsidRPr="00AA0377" w:rsidTr="00C8135A">
        <w:trPr>
          <w:trHeight w:val="300"/>
        </w:trPr>
        <w:tc>
          <w:tcPr>
            <w:tcW w:w="4224" w:type="dxa"/>
            <w:shd w:val="clear" w:color="auto" w:fill="auto"/>
            <w:noWrap/>
            <w:vAlign w:val="bottom"/>
            <w:hideMark/>
          </w:tcPr>
          <w:p w:rsidR="00AA0377" w:rsidRPr="00AA0377" w:rsidRDefault="00AA0377" w:rsidP="00AA0377">
            <w:pPr>
              <w:spacing w:after="0" w:line="240" w:lineRule="auto"/>
              <w:ind w:left="34"/>
              <w:jc w:val="both"/>
              <w:rPr>
                <w:rFonts w:ascii="Times New Roman" w:eastAsia="Times New Roman" w:hAnsi="Times New Roman" w:cs="Times New Roman"/>
                <w:b/>
                <w:bCs/>
                <w:sz w:val="24"/>
                <w:szCs w:val="24"/>
                <w:lang w:val="en-US"/>
              </w:rPr>
            </w:pPr>
            <w:r w:rsidRPr="00AA0377">
              <w:rPr>
                <w:rFonts w:ascii="Times New Roman" w:hAnsi="Times New Roman" w:cs="Times New Roman"/>
                <w:b/>
                <w:sz w:val="24"/>
                <w:szCs w:val="24"/>
                <w:lang w:val="en-US"/>
              </w:rPr>
              <w:t>Accrued (paid) taxes</w:t>
            </w:r>
          </w:p>
        </w:tc>
        <w:tc>
          <w:tcPr>
            <w:tcW w:w="2438" w:type="dxa"/>
            <w:shd w:val="clear" w:color="auto" w:fill="auto"/>
            <w:noWrap/>
            <w:vAlign w:val="bottom"/>
            <w:hideMark/>
          </w:tcPr>
          <w:p w:rsidR="00AA0377" w:rsidRPr="00AA0377" w:rsidRDefault="00AA0377" w:rsidP="00AA0377">
            <w:pPr>
              <w:spacing w:after="0" w:line="240" w:lineRule="auto"/>
              <w:ind w:left="34"/>
              <w:jc w:val="both"/>
              <w:rPr>
                <w:rFonts w:ascii="Times New Roman" w:eastAsia="Times New Roman" w:hAnsi="Times New Roman" w:cs="Times New Roman"/>
                <w:b/>
                <w:bCs/>
                <w:sz w:val="24"/>
                <w:szCs w:val="24"/>
                <w:lang w:val="en-US" w:eastAsia="ru-RU"/>
              </w:rPr>
            </w:pPr>
            <w:r w:rsidRPr="00AA0377">
              <w:rPr>
                <w:rFonts w:ascii="Times New Roman" w:eastAsia="Times New Roman" w:hAnsi="Times New Roman" w:cs="Times New Roman"/>
                <w:b/>
                <w:bCs/>
                <w:sz w:val="24"/>
                <w:szCs w:val="24"/>
                <w:lang w:val="en-US" w:eastAsia="ru-RU"/>
              </w:rPr>
              <w:t>1,622,141</w:t>
            </w:r>
          </w:p>
        </w:tc>
      </w:tr>
      <w:tr w:rsidR="00AA0377" w:rsidRPr="00AA0377" w:rsidTr="00C8135A">
        <w:trPr>
          <w:trHeight w:val="300"/>
        </w:trPr>
        <w:tc>
          <w:tcPr>
            <w:tcW w:w="4224" w:type="dxa"/>
            <w:shd w:val="clear" w:color="auto" w:fill="auto"/>
            <w:noWrap/>
            <w:vAlign w:val="bottom"/>
            <w:hideMark/>
          </w:tcPr>
          <w:p w:rsidR="00AA0377" w:rsidRPr="00AA0377" w:rsidRDefault="00AA0377" w:rsidP="00AA0377">
            <w:pPr>
              <w:spacing w:after="0" w:line="240" w:lineRule="auto"/>
              <w:ind w:left="34"/>
              <w:jc w:val="both"/>
              <w:rPr>
                <w:rFonts w:ascii="Times New Roman" w:eastAsia="Times New Roman" w:hAnsi="Times New Roman" w:cs="Times New Roman"/>
                <w:b/>
                <w:bCs/>
                <w:sz w:val="24"/>
                <w:szCs w:val="24"/>
                <w:lang w:val="en-US"/>
              </w:rPr>
            </w:pPr>
            <w:r w:rsidRPr="00AA0377">
              <w:rPr>
                <w:rFonts w:ascii="Times New Roman" w:hAnsi="Times New Roman" w:cs="Times New Roman"/>
                <w:b/>
                <w:sz w:val="24"/>
                <w:szCs w:val="24"/>
                <w:lang w:val="en-US"/>
              </w:rPr>
              <w:t>Profit after tax</w:t>
            </w:r>
          </w:p>
        </w:tc>
        <w:tc>
          <w:tcPr>
            <w:tcW w:w="2438" w:type="dxa"/>
            <w:shd w:val="clear" w:color="auto" w:fill="auto"/>
            <w:noWrap/>
            <w:vAlign w:val="bottom"/>
            <w:hideMark/>
          </w:tcPr>
          <w:p w:rsidR="00AA0377" w:rsidRPr="00AA0377" w:rsidRDefault="00AA0377" w:rsidP="00AA0377">
            <w:pPr>
              <w:spacing w:after="0" w:line="240" w:lineRule="auto"/>
              <w:ind w:left="34"/>
              <w:jc w:val="both"/>
              <w:rPr>
                <w:rFonts w:ascii="Times New Roman" w:eastAsia="Times New Roman" w:hAnsi="Times New Roman" w:cs="Times New Roman"/>
                <w:b/>
                <w:bCs/>
                <w:sz w:val="24"/>
                <w:szCs w:val="24"/>
                <w:lang w:val="en-US" w:eastAsia="ru-RU"/>
              </w:rPr>
            </w:pPr>
            <w:r w:rsidRPr="00AA0377">
              <w:rPr>
                <w:rFonts w:ascii="Times New Roman" w:eastAsia="Times New Roman" w:hAnsi="Times New Roman" w:cs="Times New Roman"/>
                <w:b/>
                <w:bCs/>
                <w:sz w:val="24"/>
                <w:szCs w:val="24"/>
                <w:lang w:val="en-US" w:eastAsia="ru-RU"/>
              </w:rPr>
              <w:t>6,357,892</w:t>
            </w:r>
          </w:p>
        </w:tc>
      </w:tr>
      <w:tr w:rsidR="00AA0377" w:rsidRPr="00AA0377" w:rsidTr="00C8135A">
        <w:trPr>
          <w:trHeight w:val="300"/>
        </w:trPr>
        <w:tc>
          <w:tcPr>
            <w:tcW w:w="4224" w:type="dxa"/>
            <w:shd w:val="clear" w:color="auto" w:fill="auto"/>
            <w:noWrap/>
            <w:vAlign w:val="bottom"/>
            <w:hideMark/>
          </w:tcPr>
          <w:p w:rsidR="00AA0377" w:rsidRPr="00AA0377" w:rsidRDefault="00AA0377" w:rsidP="00AA0377">
            <w:pPr>
              <w:spacing w:after="0" w:line="240" w:lineRule="auto"/>
              <w:ind w:left="34"/>
              <w:jc w:val="both"/>
              <w:rPr>
                <w:rFonts w:ascii="Times New Roman" w:eastAsia="Times New Roman" w:hAnsi="Times New Roman" w:cs="Times New Roman"/>
                <w:b/>
                <w:bCs/>
                <w:sz w:val="24"/>
                <w:szCs w:val="24"/>
                <w:lang w:val="en-US"/>
              </w:rPr>
            </w:pPr>
            <w:r w:rsidRPr="00AA0377">
              <w:rPr>
                <w:rFonts w:ascii="Times New Roman" w:hAnsi="Times New Roman" w:cs="Times New Roman"/>
                <w:b/>
                <w:sz w:val="24"/>
                <w:szCs w:val="24"/>
                <w:lang w:val="en-US"/>
              </w:rPr>
              <w:t>Equity</w:t>
            </w:r>
          </w:p>
        </w:tc>
        <w:tc>
          <w:tcPr>
            <w:tcW w:w="2438" w:type="dxa"/>
            <w:shd w:val="clear" w:color="auto" w:fill="auto"/>
            <w:noWrap/>
            <w:vAlign w:val="bottom"/>
            <w:hideMark/>
          </w:tcPr>
          <w:p w:rsidR="00AA0377" w:rsidRPr="00AA0377" w:rsidRDefault="00AA0377" w:rsidP="00AA0377">
            <w:pPr>
              <w:spacing w:after="0" w:line="240" w:lineRule="auto"/>
              <w:ind w:left="34"/>
              <w:jc w:val="both"/>
              <w:rPr>
                <w:rFonts w:ascii="Times New Roman" w:eastAsia="Times New Roman" w:hAnsi="Times New Roman" w:cs="Times New Roman"/>
                <w:b/>
                <w:bCs/>
                <w:sz w:val="24"/>
                <w:szCs w:val="24"/>
                <w:lang w:val="en-US" w:eastAsia="ru-RU"/>
              </w:rPr>
            </w:pPr>
            <w:r w:rsidRPr="00AA0377">
              <w:rPr>
                <w:rFonts w:ascii="Times New Roman" w:eastAsia="Times New Roman" w:hAnsi="Times New Roman" w:cs="Times New Roman"/>
                <w:b/>
                <w:bCs/>
                <w:sz w:val="24"/>
                <w:szCs w:val="24"/>
                <w:lang w:val="en-US" w:eastAsia="ru-RU"/>
              </w:rPr>
              <w:t>28,839,271</w:t>
            </w:r>
          </w:p>
        </w:tc>
      </w:tr>
    </w:tbl>
    <w:p w:rsidR="00AA0377" w:rsidRPr="00AA0377" w:rsidRDefault="00AA0377" w:rsidP="00AA0377">
      <w:pPr>
        <w:spacing w:after="120" w:line="240" w:lineRule="auto"/>
        <w:ind w:left="709" w:firstLine="567"/>
        <w:jc w:val="both"/>
        <w:rPr>
          <w:rFonts w:ascii="Times New Roman" w:hAnsi="Times New Roman" w:cs="Times New Roman"/>
          <w:sz w:val="24"/>
          <w:szCs w:val="24"/>
          <w:lang w:val="en-US" w:eastAsia="ru-RU"/>
        </w:rPr>
      </w:pPr>
    </w:p>
    <w:p w:rsidR="00AA0377" w:rsidRPr="00AA0377" w:rsidRDefault="00AA0377" w:rsidP="00AA0377">
      <w:pPr>
        <w:spacing w:before="100" w:after="120" w:line="240" w:lineRule="auto"/>
        <w:jc w:val="center"/>
        <w:rPr>
          <w:rFonts w:ascii="Times New Roman" w:eastAsia="Times New Roman" w:hAnsi="Times New Roman" w:cs="Times New Roman"/>
          <w:b/>
          <w:bCs/>
          <w:i/>
          <w:sz w:val="24"/>
          <w:szCs w:val="24"/>
          <w:lang w:val="en-US" w:eastAsia="ru-RU"/>
        </w:rPr>
      </w:pPr>
    </w:p>
    <w:p w:rsidR="00AA0377" w:rsidRPr="00AA0377" w:rsidRDefault="00AA0377" w:rsidP="00AA0377">
      <w:pPr>
        <w:spacing w:before="100" w:after="120" w:line="240" w:lineRule="auto"/>
        <w:jc w:val="center"/>
        <w:rPr>
          <w:rFonts w:ascii="Times New Roman" w:eastAsia="Times New Roman" w:hAnsi="Times New Roman" w:cs="Times New Roman"/>
          <w:b/>
          <w:bCs/>
          <w:i/>
          <w:sz w:val="24"/>
          <w:szCs w:val="24"/>
          <w:lang w:val="en-US"/>
        </w:rPr>
      </w:pPr>
      <w:r w:rsidRPr="00AA0377">
        <w:rPr>
          <w:rFonts w:ascii="Times New Roman" w:hAnsi="Times New Roman" w:cs="Times New Roman"/>
          <w:b/>
          <w:i/>
          <w:sz w:val="24"/>
          <w:szCs w:val="24"/>
          <w:lang w:val="en-US"/>
        </w:rPr>
        <w:t>Financial highlights’</w:t>
      </w:r>
      <w:r w:rsidRPr="00AA0377">
        <w:rPr>
          <w:rFonts w:ascii="Times New Roman" w:eastAsia="Times New Roman" w:hAnsi="Times New Roman" w:cs="Times New Roman"/>
          <w:b/>
          <w:bCs/>
          <w:i/>
          <w:sz w:val="24"/>
          <w:szCs w:val="24"/>
          <w:lang w:val="en-US" w:eastAsia="ru-RU"/>
        </w:rPr>
        <w:t xml:space="preserve"> dynamics  </w:t>
      </w:r>
    </w:p>
    <w:tbl>
      <w:tblPr>
        <w:tblW w:w="8505" w:type="dxa"/>
        <w:tblInd w:w="675" w:type="dxa"/>
        <w:tblLayout w:type="fixed"/>
        <w:tblLook w:val="04A0" w:firstRow="1" w:lastRow="0" w:firstColumn="1" w:lastColumn="0" w:noHBand="0" w:noVBand="1"/>
      </w:tblPr>
      <w:tblGrid>
        <w:gridCol w:w="3552"/>
        <w:gridCol w:w="1651"/>
        <w:gridCol w:w="1651"/>
        <w:gridCol w:w="1651"/>
      </w:tblGrid>
      <w:tr w:rsidR="00AA0377" w:rsidRPr="00AA0377" w:rsidTr="00C8135A">
        <w:trPr>
          <w:trHeight w:val="420"/>
        </w:trPr>
        <w:tc>
          <w:tcPr>
            <w:tcW w:w="3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377" w:rsidRPr="00AA0377" w:rsidRDefault="00AA0377" w:rsidP="00AA0377">
            <w:pPr>
              <w:spacing w:after="120" w:line="240" w:lineRule="auto"/>
              <w:ind w:left="34"/>
              <w:jc w:val="both"/>
              <w:rPr>
                <w:rFonts w:ascii="Times New Roman" w:eastAsia="Times New Roman" w:hAnsi="Times New Roman" w:cs="Times New Roman"/>
                <w:b/>
                <w:bCs/>
                <w:sz w:val="24"/>
                <w:szCs w:val="24"/>
                <w:lang w:val="en-US" w:eastAsia="ru-RU"/>
              </w:rPr>
            </w:pPr>
            <w:r w:rsidRPr="00AA0377">
              <w:rPr>
                <w:rFonts w:ascii="Times New Roman" w:eastAsia="Times New Roman" w:hAnsi="Times New Roman" w:cs="Times New Roman"/>
                <w:b/>
                <w:bCs/>
                <w:sz w:val="24"/>
                <w:szCs w:val="24"/>
                <w:lang w:val="en-US" w:eastAsia="ru-RU"/>
              </w:rPr>
              <w:t> </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377" w:rsidRPr="00AA0377" w:rsidRDefault="00AA0377" w:rsidP="00AA0377">
            <w:pPr>
              <w:spacing w:before="100" w:after="120" w:line="240" w:lineRule="auto"/>
              <w:ind w:left="34"/>
              <w:jc w:val="center"/>
              <w:rPr>
                <w:rFonts w:ascii="Times New Roman" w:eastAsia="Times New Roman" w:hAnsi="Times New Roman" w:cs="Times New Roman"/>
                <w:b/>
                <w:bCs/>
                <w:sz w:val="24"/>
                <w:szCs w:val="24"/>
                <w:lang w:val="en-US" w:eastAsia="ru-RU"/>
              </w:rPr>
            </w:pPr>
            <w:r w:rsidRPr="00AA0377">
              <w:rPr>
                <w:rFonts w:ascii="Times New Roman" w:eastAsia="Times New Roman" w:hAnsi="Times New Roman" w:cs="Times New Roman"/>
                <w:b/>
                <w:bCs/>
                <w:sz w:val="24"/>
                <w:szCs w:val="24"/>
                <w:lang w:val="en-US" w:eastAsia="ru-RU"/>
              </w:rPr>
              <w:t>changes 2013/2012</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377" w:rsidRPr="00AA0377" w:rsidRDefault="00AA0377" w:rsidP="00AA0377">
            <w:pPr>
              <w:spacing w:before="100" w:after="120" w:line="240" w:lineRule="auto"/>
              <w:ind w:left="34"/>
              <w:jc w:val="center"/>
              <w:rPr>
                <w:rFonts w:ascii="Times New Roman" w:eastAsia="Times New Roman" w:hAnsi="Times New Roman" w:cs="Times New Roman"/>
                <w:b/>
                <w:bCs/>
                <w:sz w:val="24"/>
                <w:szCs w:val="24"/>
                <w:lang w:val="en-US" w:eastAsia="ru-RU"/>
              </w:rPr>
            </w:pPr>
            <w:r w:rsidRPr="00AA0377">
              <w:rPr>
                <w:rFonts w:ascii="Times New Roman" w:eastAsia="Times New Roman" w:hAnsi="Times New Roman" w:cs="Times New Roman"/>
                <w:b/>
                <w:bCs/>
                <w:sz w:val="24"/>
                <w:szCs w:val="24"/>
                <w:lang w:val="en-US" w:eastAsia="ru-RU"/>
              </w:rPr>
              <w:t>2013</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377" w:rsidRPr="00AA0377" w:rsidRDefault="00AA0377" w:rsidP="00AA0377">
            <w:pPr>
              <w:spacing w:before="100" w:after="120" w:line="240" w:lineRule="auto"/>
              <w:ind w:left="34"/>
              <w:jc w:val="center"/>
              <w:rPr>
                <w:rFonts w:ascii="Times New Roman" w:eastAsia="Times New Roman" w:hAnsi="Times New Roman" w:cs="Times New Roman"/>
                <w:b/>
                <w:bCs/>
                <w:sz w:val="24"/>
                <w:szCs w:val="24"/>
                <w:lang w:val="en-US" w:eastAsia="ru-RU"/>
              </w:rPr>
            </w:pPr>
            <w:r w:rsidRPr="00AA0377">
              <w:rPr>
                <w:rFonts w:ascii="Times New Roman" w:eastAsia="Times New Roman" w:hAnsi="Times New Roman" w:cs="Times New Roman"/>
                <w:b/>
                <w:bCs/>
                <w:sz w:val="24"/>
                <w:szCs w:val="24"/>
                <w:lang w:val="en-US" w:eastAsia="ru-RU"/>
              </w:rPr>
              <w:t>2012</w:t>
            </w:r>
          </w:p>
        </w:tc>
      </w:tr>
      <w:tr w:rsidR="00AA0377" w:rsidRPr="00AA0377" w:rsidTr="00C8135A">
        <w:trPr>
          <w:trHeight w:val="300"/>
        </w:trPr>
        <w:tc>
          <w:tcPr>
            <w:tcW w:w="3552" w:type="dxa"/>
            <w:tcBorders>
              <w:top w:val="nil"/>
              <w:left w:val="single" w:sz="4" w:space="0" w:color="auto"/>
              <w:bottom w:val="single" w:sz="4" w:space="0" w:color="auto"/>
              <w:right w:val="single" w:sz="4" w:space="0" w:color="auto"/>
            </w:tcBorders>
            <w:shd w:val="clear" w:color="auto" w:fill="auto"/>
            <w:vAlign w:val="bottom"/>
            <w:hideMark/>
          </w:tcPr>
          <w:p w:rsidR="00AA0377" w:rsidRPr="00AA0377" w:rsidRDefault="00AA0377" w:rsidP="00AA0377">
            <w:pPr>
              <w:spacing w:after="120" w:line="240" w:lineRule="auto"/>
              <w:ind w:left="34"/>
              <w:jc w:val="both"/>
              <w:rPr>
                <w:rFonts w:ascii="Times New Roman" w:eastAsia="Times New Roman" w:hAnsi="Times New Roman" w:cs="Times New Roman"/>
                <w:sz w:val="24"/>
                <w:szCs w:val="24"/>
                <w:lang w:val="en-US"/>
              </w:rPr>
            </w:pPr>
            <w:r w:rsidRPr="00AA0377">
              <w:rPr>
                <w:rFonts w:ascii="Times New Roman" w:hAnsi="Times New Roman" w:cs="Times New Roman"/>
                <w:sz w:val="24"/>
                <w:szCs w:val="24"/>
                <w:lang w:val="en-US"/>
              </w:rPr>
              <w:t xml:space="preserve"> Interest income </w:t>
            </w:r>
          </w:p>
        </w:tc>
        <w:tc>
          <w:tcPr>
            <w:tcW w:w="1651" w:type="dxa"/>
            <w:tcBorders>
              <w:top w:val="nil"/>
              <w:left w:val="nil"/>
              <w:bottom w:val="single" w:sz="4" w:space="0" w:color="auto"/>
              <w:right w:val="single" w:sz="4" w:space="0" w:color="auto"/>
            </w:tcBorders>
            <w:shd w:val="clear" w:color="auto" w:fill="auto"/>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 </w:t>
            </w:r>
          </w:p>
        </w:tc>
        <w:tc>
          <w:tcPr>
            <w:tcW w:w="1651" w:type="dxa"/>
            <w:tcBorders>
              <w:top w:val="nil"/>
              <w:left w:val="nil"/>
              <w:bottom w:val="single" w:sz="4" w:space="0" w:color="auto"/>
              <w:right w:val="single" w:sz="4" w:space="0" w:color="auto"/>
            </w:tcBorders>
            <w:shd w:val="clear" w:color="auto" w:fill="auto"/>
            <w:noWrap/>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7,452,636</w:t>
            </w:r>
          </w:p>
        </w:tc>
        <w:tc>
          <w:tcPr>
            <w:tcW w:w="1651" w:type="dxa"/>
            <w:tcBorders>
              <w:top w:val="nil"/>
              <w:left w:val="nil"/>
              <w:bottom w:val="single" w:sz="4" w:space="0" w:color="auto"/>
              <w:right w:val="single" w:sz="4" w:space="0" w:color="auto"/>
            </w:tcBorders>
            <w:shd w:val="clear" w:color="auto" w:fill="auto"/>
            <w:noWrap/>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4,138,955</w:t>
            </w:r>
          </w:p>
        </w:tc>
      </w:tr>
      <w:tr w:rsidR="00AA0377" w:rsidRPr="00AA0377" w:rsidTr="00C8135A">
        <w:trPr>
          <w:trHeight w:val="300"/>
        </w:trPr>
        <w:tc>
          <w:tcPr>
            <w:tcW w:w="3552" w:type="dxa"/>
            <w:tcBorders>
              <w:top w:val="nil"/>
              <w:left w:val="single" w:sz="4" w:space="0" w:color="auto"/>
              <w:bottom w:val="single" w:sz="4" w:space="0" w:color="auto"/>
              <w:right w:val="single" w:sz="4" w:space="0" w:color="auto"/>
            </w:tcBorders>
            <w:shd w:val="clear" w:color="auto" w:fill="auto"/>
            <w:vAlign w:val="bottom"/>
            <w:hideMark/>
          </w:tcPr>
          <w:p w:rsidR="00AA0377" w:rsidRPr="00AA0377" w:rsidRDefault="00AA0377" w:rsidP="00AA0377">
            <w:pPr>
              <w:spacing w:after="120" w:line="240" w:lineRule="auto"/>
              <w:ind w:left="34"/>
              <w:jc w:val="both"/>
              <w:rPr>
                <w:rFonts w:ascii="Times New Roman" w:eastAsia="Times New Roman" w:hAnsi="Times New Roman" w:cs="Times New Roman"/>
                <w:sz w:val="24"/>
                <w:szCs w:val="24"/>
                <w:lang w:val="en-US"/>
              </w:rPr>
            </w:pPr>
            <w:r w:rsidRPr="00AA0377">
              <w:rPr>
                <w:rFonts w:ascii="Times New Roman" w:hAnsi="Times New Roman" w:cs="Times New Roman"/>
                <w:sz w:val="24"/>
                <w:szCs w:val="24"/>
                <w:lang w:val="en-US"/>
              </w:rPr>
              <w:t xml:space="preserve"> Interest costs </w:t>
            </w:r>
          </w:p>
        </w:tc>
        <w:tc>
          <w:tcPr>
            <w:tcW w:w="1651" w:type="dxa"/>
            <w:tcBorders>
              <w:top w:val="nil"/>
              <w:left w:val="nil"/>
              <w:bottom w:val="single" w:sz="4" w:space="0" w:color="auto"/>
              <w:right w:val="single" w:sz="4" w:space="0" w:color="auto"/>
            </w:tcBorders>
            <w:shd w:val="clear" w:color="auto" w:fill="auto"/>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b/>
                <w:bCs/>
                <w:sz w:val="24"/>
                <w:szCs w:val="24"/>
                <w:lang w:val="en-US" w:eastAsia="ru-RU"/>
              </w:rPr>
            </w:pPr>
            <w:r w:rsidRPr="00AA0377">
              <w:rPr>
                <w:rFonts w:ascii="Times New Roman" w:eastAsia="Times New Roman" w:hAnsi="Times New Roman" w:cs="Times New Roman"/>
                <w:b/>
                <w:bCs/>
                <w:sz w:val="24"/>
                <w:szCs w:val="24"/>
                <w:lang w:val="en-US" w:eastAsia="ru-RU"/>
              </w:rPr>
              <w:t> </w:t>
            </w:r>
          </w:p>
        </w:tc>
        <w:tc>
          <w:tcPr>
            <w:tcW w:w="1651" w:type="dxa"/>
            <w:tcBorders>
              <w:top w:val="nil"/>
              <w:left w:val="nil"/>
              <w:bottom w:val="single" w:sz="4" w:space="0" w:color="auto"/>
              <w:right w:val="single" w:sz="4" w:space="0" w:color="auto"/>
            </w:tcBorders>
            <w:shd w:val="clear" w:color="auto" w:fill="auto"/>
            <w:noWrap/>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1,235,181</w:t>
            </w:r>
          </w:p>
        </w:tc>
        <w:tc>
          <w:tcPr>
            <w:tcW w:w="1651" w:type="dxa"/>
            <w:tcBorders>
              <w:top w:val="nil"/>
              <w:left w:val="nil"/>
              <w:bottom w:val="single" w:sz="4" w:space="0" w:color="auto"/>
              <w:right w:val="single" w:sz="4" w:space="0" w:color="auto"/>
            </w:tcBorders>
            <w:shd w:val="clear" w:color="auto" w:fill="auto"/>
            <w:noWrap/>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270,200</w:t>
            </w:r>
          </w:p>
        </w:tc>
      </w:tr>
      <w:tr w:rsidR="00AA0377" w:rsidRPr="00AA0377" w:rsidTr="00C8135A">
        <w:trPr>
          <w:trHeight w:val="285"/>
        </w:trPr>
        <w:tc>
          <w:tcPr>
            <w:tcW w:w="3552" w:type="dxa"/>
            <w:tcBorders>
              <w:top w:val="nil"/>
              <w:left w:val="single" w:sz="4" w:space="0" w:color="auto"/>
              <w:bottom w:val="single" w:sz="4" w:space="0" w:color="auto"/>
              <w:right w:val="single" w:sz="4" w:space="0" w:color="auto"/>
            </w:tcBorders>
            <w:shd w:val="clear" w:color="auto" w:fill="auto"/>
            <w:vAlign w:val="bottom"/>
            <w:hideMark/>
          </w:tcPr>
          <w:p w:rsidR="00AA0377" w:rsidRPr="00AA0377" w:rsidRDefault="00AA0377" w:rsidP="00AA0377">
            <w:pPr>
              <w:spacing w:after="120" w:line="240" w:lineRule="auto"/>
              <w:ind w:left="34"/>
              <w:jc w:val="both"/>
              <w:rPr>
                <w:rFonts w:ascii="Times New Roman" w:eastAsia="Times New Roman" w:hAnsi="Times New Roman" w:cs="Times New Roman"/>
                <w:b/>
                <w:bCs/>
                <w:sz w:val="24"/>
                <w:szCs w:val="24"/>
                <w:lang w:val="en-US"/>
              </w:rPr>
            </w:pPr>
            <w:r w:rsidRPr="00AA0377">
              <w:rPr>
                <w:rFonts w:ascii="Times New Roman" w:hAnsi="Times New Roman" w:cs="Times New Roman"/>
                <w:b/>
                <w:sz w:val="24"/>
                <w:szCs w:val="24"/>
                <w:lang w:val="en-US"/>
              </w:rPr>
              <w:t xml:space="preserve"> Net interest income </w:t>
            </w:r>
          </w:p>
        </w:tc>
        <w:tc>
          <w:tcPr>
            <w:tcW w:w="1651" w:type="dxa"/>
            <w:tcBorders>
              <w:top w:val="nil"/>
              <w:left w:val="nil"/>
              <w:bottom w:val="single" w:sz="4" w:space="0" w:color="auto"/>
              <w:right w:val="single" w:sz="4" w:space="0" w:color="auto"/>
            </w:tcBorders>
            <w:shd w:val="clear" w:color="auto" w:fill="auto"/>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b/>
                <w:bCs/>
                <w:sz w:val="24"/>
                <w:szCs w:val="24"/>
                <w:lang w:val="en-US" w:eastAsia="ru-RU"/>
              </w:rPr>
            </w:pPr>
            <w:r w:rsidRPr="00AA0377">
              <w:rPr>
                <w:rFonts w:ascii="Times New Roman" w:eastAsia="Times New Roman" w:hAnsi="Times New Roman" w:cs="Times New Roman"/>
                <w:b/>
                <w:bCs/>
                <w:sz w:val="24"/>
                <w:szCs w:val="24"/>
                <w:lang w:val="en-US" w:eastAsia="ru-RU"/>
              </w:rPr>
              <w:t>161%</w:t>
            </w:r>
          </w:p>
        </w:tc>
        <w:tc>
          <w:tcPr>
            <w:tcW w:w="1651" w:type="dxa"/>
            <w:tcBorders>
              <w:top w:val="nil"/>
              <w:left w:val="nil"/>
              <w:bottom w:val="single" w:sz="4" w:space="0" w:color="auto"/>
              <w:right w:val="single" w:sz="4" w:space="0" w:color="auto"/>
            </w:tcBorders>
            <w:shd w:val="clear" w:color="auto" w:fill="auto"/>
            <w:noWrap/>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b/>
                <w:bCs/>
                <w:sz w:val="24"/>
                <w:szCs w:val="24"/>
                <w:lang w:val="en-US" w:eastAsia="ru-RU"/>
              </w:rPr>
            </w:pPr>
            <w:r w:rsidRPr="00AA0377">
              <w:rPr>
                <w:rFonts w:ascii="Times New Roman" w:eastAsia="Times New Roman" w:hAnsi="Times New Roman" w:cs="Times New Roman"/>
                <w:b/>
                <w:bCs/>
                <w:sz w:val="24"/>
                <w:szCs w:val="24"/>
                <w:lang w:val="en-US" w:eastAsia="ru-RU"/>
              </w:rPr>
              <w:t>6,217,455</w:t>
            </w:r>
          </w:p>
        </w:tc>
        <w:tc>
          <w:tcPr>
            <w:tcW w:w="1651" w:type="dxa"/>
            <w:tcBorders>
              <w:top w:val="nil"/>
              <w:left w:val="nil"/>
              <w:bottom w:val="single" w:sz="4" w:space="0" w:color="auto"/>
              <w:right w:val="single" w:sz="4" w:space="0" w:color="auto"/>
            </w:tcBorders>
            <w:shd w:val="clear" w:color="auto" w:fill="auto"/>
            <w:noWrap/>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b/>
                <w:bCs/>
                <w:sz w:val="24"/>
                <w:szCs w:val="24"/>
                <w:lang w:val="en-US" w:eastAsia="ru-RU"/>
              </w:rPr>
            </w:pPr>
            <w:r w:rsidRPr="00AA0377">
              <w:rPr>
                <w:rFonts w:ascii="Times New Roman" w:eastAsia="Times New Roman" w:hAnsi="Times New Roman" w:cs="Times New Roman"/>
                <w:b/>
                <w:bCs/>
                <w:sz w:val="24"/>
                <w:szCs w:val="24"/>
                <w:lang w:val="en-US" w:eastAsia="ru-RU"/>
              </w:rPr>
              <w:t>3,868,755</w:t>
            </w:r>
          </w:p>
        </w:tc>
      </w:tr>
      <w:tr w:rsidR="00AA0377" w:rsidRPr="00AA0377" w:rsidTr="00C8135A">
        <w:trPr>
          <w:trHeight w:val="300"/>
        </w:trPr>
        <w:tc>
          <w:tcPr>
            <w:tcW w:w="3552" w:type="dxa"/>
            <w:tcBorders>
              <w:top w:val="nil"/>
              <w:left w:val="single" w:sz="4" w:space="0" w:color="auto"/>
              <w:bottom w:val="single" w:sz="4" w:space="0" w:color="auto"/>
              <w:right w:val="single" w:sz="4" w:space="0" w:color="auto"/>
            </w:tcBorders>
            <w:shd w:val="clear" w:color="auto" w:fill="auto"/>
            <w:vAlign w:val="bottom"/>
            <w:hideMark/>
          </w:tcPr>
          <w:p w:rsidR="00AA0377" w:rsidRPr="00AA0377" w:rsidRDefault="00AA0377" w:rsidP="00AA0377">
            <w:pPr>
              <w:spacing w:after="120" w:line="240" w:lineRule="auto"/>
              <w:ind w:left="34"/>
              <w:jc w:val="both"/>
              <w:rPr>
                <w:rFonts w:ascii="Times New Roman" w:eastAsia="Times New Roman" w:hAnsi="Times New Roman" w:cs="Times New Roman"/>
                <w:sz w:val="24"/>
                <w:szCs w:val="24"/>
                <w:lang w:val="en-US"/>
              </w:rPr>
            </w:pPr>
            <w:r w:rsidRPr="00AA0377">
              <w:rPr>
                <w:rFonts w:ascii="Times New Roman" w:hAnsi="Times New Roman" w:cs="Times New Roman"/>
                <w:sz w:val="24"/>
                <w:szCs w:val="24"/>
                <w:lang w:val="en-US"/>
              </w:rPr>
              <w:t xml:space="preserve"> Provision for assets impairment </w:t>
            </w:r>
          </w:p>
        </w:tc>
        <w:tc>
          <w:tcPr>
            <w:tcW w:w="1651" w:type="dxa"/>
            <w:tcBorders>
              <w:top w:val="nil"/>
              <w:left w:val="nil"/>
              <w:bottom w:val="single" w:sz="4" w:space="0" w:color="auto"/>
              <w:right w:val="single" w:sz="4" w:space="0" w:color="auto"/>
            </w:tcBorders>
            <w:shd w:val="clear" w:color="auto" w:fill="auto"/>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b/>
                <w:bCs/>
                <w:sz w:val="24"/>
                <w:szCs w:val="24"/>
                <w:lang w:val="en-US" w:eastAsia="ru-RU"/>
              </w:rPr>
            </w:pPr>
            <w:r w:rsidRPr="00AA0377">
              <w:rPr>
                <w:rFonts w:ascii="Times New Roman" w:eastAsia="Times New Roman" w:hAnsi="Times New Roman" w:cs="Times New Roman"/>
                <w:b/>
                <w:bCs/>
                <w:sz w:val="24"/>
                <w:szCs w:val="24"/>
                <w:lang w:val="en-US" w:eastAsia="ru-RU"/>
              </w:rPr>
              <w:t> </w:t>
            </w:r>
          </w:p>
        </w:tc>
        <w:tc>
          <w:tcPr>
            <w:tcW w:w="1651" w:type="dxa"/>
            <w:tcBorders>
              <w:top w:val="nil"/>
              <w:left w:val="nil"/>
              <w:bottom w:val="single" w:sz="4" w:space="0" w:color="auto"/>
              <w:right w:val="single" w:sz="4" w:space="0" w:color="auto"/>
            </w:tcBorders>
            <w:shd w:val="clear" w:color="auto" w:fill="auto"/>
            <w:noWrap/>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17,588</w:t>
            </w:r>
          </w:p>
        </w:tc>
        <w:tc>
          <w:tcPr>
            <w:tcW w:w="1651" w:type="dxa"/>
            <w:tcBorders>
              <w:top w:val="nil"/>
              <w:left w:val="nil"/>
              <w:bottom w:val="single" w:sz="4" w:space="0" w:color="auto"/>
              <w:right w:val="single" w:sz="4" w:space="0" w:color="auto"/>
            </w:tcBorders>
            <w:shd w:val="clear" w:color="auto" w:fill="auto"/>
            <w:noWrap/>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- 2,391</w:t>
            </w:r>
          </w:p>
        </w:tc>
      </w:tr>
      <w:tr w:rsidR="00AA0377" w:rsidRPr="00AA0377" w:rsidTr="00C8135A">
        <w:trPr>
          <w:trHeight w:val="510"/>
        </w:trPr>
        <w:tc>
          <w:tcPr>
            <w:tcW w:w="3552" w:type="dxa"/>
            <w:tcBorders>
              <w:top w:val="nil"/>
              <w:left w:val="single" w:sz="4" w:space="0" w:color="auto"/>
              <w:bottom w:val="single" w:sz="4" w:space="0" w:color="auto"/>
              <w:right w:val="single" w:sz="4" w:space="0" w:color="auto"/>
            </w:tcBorders>
            <w:shd w:val="clear" w:color="auto" w:fill="auto"/>
            <w:vAlign w:val="bottom"/>
            <w:hideMark/>
          </w:tcPr>
          <w:p w:rsidR="00AA0377" w:rsidRPr="00AA0377" w:rsidRDefault="00AA0377" w:rsidP="00AA0377">
            <w:pPr>
              <w:spacing w:after="120" w:line="240" w:lineRule="auto"/>
              <w:ind w:left="34"/>
              <w:jc w:val="both"/>
              <w:rPr>
                <w:rFonts w:ascii="Times New Roman" w:eastAsia="Times New Roman" w:hAnsi="Times New Roman" w:cs="Times New Roman"/>
                <w:b/>
                <w:bCs/>
                <w:sz w:val="24"/>
                <w:szCs w:val="24"/>
                <w:lang w:val="en-US"/>
              </w:rPr>
            </w:pPr>
            <w:r w:rsidRPr="00AA0377">
              <w:rPr>
                <w:rFonts w:ascii="Times New Roman" w:hAnsi="Times New Roman" w:cs="Times New Roman"/>
                <w:b/>
                <w:sz w:val="24"/>
                <w:szCs w:val="24"/>
                <w:lang w:val="en-US"/>
              </w:rPr>
              <w:t xml:space="preserve">Net interest income after provisioning for possible losses </w:t>
            </w:r>
          </w:p>
        </w:tc>
        <w:tc>
          <w:tcPr>
            <w:tcW w:w="1651" w:type="dxa"/>
            <w:tcBorders>
              <w:top w:val="nil"/>
              <w:left w:val="nil"/>
              <w:bottom w:val="single" w:sz="4" w:space="0" w:color="auto"/>
              <w:right w:val="single" w:sz="4" w:space="0" w:color="auto"/>
            </w:tcBorders>
            <w:shd w:val="clear" w:color="auto" w:fill="auto"/>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b/>
                <w:bCs/>
                <w:sz w:val="24"/>
                <w:szCs w:val="24"/>
                <w:lang w:val="en-US" w:eastAsia="ru-RU"/>
              </w:rPr>
            </w:pPr>
            <w:r w:rsidRPr="00AA0377">
              <w:rPr>
                <w:rFonts w:ascii="Times New Roman" w:eastAsia="Times New Roman" w:hAnsi="Times New Roman" w:cs="Times New Roman"/>
                <w:b/>
                <w:bCs/>
                <w:sz w:val="24"/>
                <w:szCs w:val="24"/>
                <w:lang w:val="en-US" w:eastAsia="ru-RU"/>
              </w:rPr>
              <w:t>161%</w:t>
            </w:r>
          </w:p>
        </w:tc>
        <w:tc>
          <w:tcPr>
            <w:tcW w:w="1651" w:type="dxa"/>
            <w:tcBorders>
              <w:top w:val="nil"/>
              <w:left w:val="nil"/>
              <w:bottom w:val="single" w:sz="4" w:space="0" w:color="auto"/>
              <w:right w:val="single" w:sz="4" w:space="0" w:color="auto"/>
            </w:tcBorders>
            <w:shd w:val="clear" w:color="auto" w:fill="auto"/>
            <w:noWrap/>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b/>
                <w:bCs/>
                <w:sz w:val="24"/>
                <w:szCs w:val="24"/>
                <w:lang w:val="en-US" w:eastAsia="ru-RU"/>
              </w:rPr>
            </w:pPr>
            <w:r w:rsidRPr="00AA0377">
              <w:rPr>
                <w:rFonts w:ascii="Times New Roman" w:eastAsia="Times New Roman" w:hAnsi="Times New Roman" w:cs="Times New Roman"/>
                <w:b/>
                <w:bCs/>
                <w:sz w:val="24"/>
                <w:szCs w:val="24"/>
                <w:lang w:val="en-US" w:eastAsia="ru-RU"/>
              </w:rPr>
              <w:t>6,235,043</w:t>
            </w:r>
          </w:p>
        </w:tc>
        <w:tc>
          <w:tcPr>
            <w:tcW w:w="1651" w:type="dxa"/>
            <w:tcBorders>
              <w:top w:val="nil"/>
              <w:left w:val="nil"/>
              <w:bottom w:val="single" w:sz="4" w:space="0" w:color="auto"/>
              <w:right w:val="single" w:sz="4" w:space="0" w:color="auto"/>
            </w:tcBorders>
            <w:shd w:val="clear" w:color="auto" w:fill="auto"/>
            <w:noWrap/>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b/>
                <w:bCs/>
                <w:sz w:val="24"/>
                <w:szCs w:val="24"/>
                <w:lang w:val="en-US" w:eastAsia="ru-RU"/>
              </w:rPr>
            </w:pPr>
            <w:r w:rsidRPr="00AA0377">
              <w:rPr>
                <w:rFonts w:ascii="Times New Roman" w:eastAsia="Times New Roman" w:hAnsi="Times New Roman" w:cs="Times New Roman"/>
                <w:b/>
                <w:bCs/>
                <w:sz w:val="24"/>
                <w:szCs w:val="24"/>
                <w:lang w:val="en-US" w:eastAsia="ru-RU"/>
              </w:rPr>
              <w:t>3,866,364</w:t>
            </w:r>
          </w:p>
        </w:tc>
      </w:tr>
      <w:tr w:rsidR="00AA0377" w:rsidRPr="00AA0377" w:rsidTr="00C8135A">
        <w:trPr>
          <w:trHeight w:val="495"/>
        </w:trPr>
        <w:tc>
          <w:tcPr>
            <w:tcW w:w="3552" w:type="dxa"/>
            <w:tcBorders>
              <w:top w:val="nil"/>
              <w:left w:val="single" w:sz="4" w:space="0" w:color="auto"/>
              <w:bottom w:val="single" w:sz="4" w:space="0" w:color="auto"/>
              <w:right w:val="single" w:sz="4" w:space="0" w:color="auto"/>
            </w:tcBorders>
            <w:shd w:val="clear" w:color="auto" w:fill="auto"/>
            <w:vAlign w:val="bottom"/>
            <w:hideMark/>
          </w:tcPr>
          <w:p w:rsidR="00AA0377" w:rsidRPr="00AA0377" w:rsidRDefault="00AA0377" w:rsidP="00AA0377">
            <w:pPr>
              <w:spacing w:after="120" w:line="240" w:lineRule="auto"/>
              <w:ind w:left="34"/>
              <w:jc w:val="both"/>
              <w:rPr>
                <w:rFonts w:ascii="Times New Roman" w:eastAsia="Times New Roman" w:hAnsi="Times New Roman" w:cs="Times New Roman"/>
                <w:sz w:val="24"/>
                <w:szCs w:val="24"/>
                <w:lang w:val="en-US"/>
              </w:rPr>
            </w:pPr>
            <w:r w:rsidRPr="00AA0377">
              <w:rPr>
                <w:rFonts w:ascii="Times New Roman" w:hAnsi="Times New Roman" w:cs="Times New Roman"/>
                <w:sz w:val="24"/>
                <w:szCs w:val="24"/>
                <w:lang w:val="en-US"/>
              </w:rPr>
              <w:t>Commission fees for clearing services</w:t>
            </w:r>
          </w:p>
        </w:tc>
        <w:tc>
          <w:tcPr>
            <w:tcW w:w="1651" w:type="dxa"/>
            <w:tcBorders>
              <w:top w:val="nil"/>
              <w:left w:val="nil"/>
              <w:bottom w:val="single" w:sz="4" w:space="0" w:color="auto"/>
              <w:right w:val="single" w:sz="4" w:space="0" w:color="auto"/>
            </w:tcBorders>
            <w:shd w:val="clear" w:color="auto" w:fill="auto"/>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b/>
                <w:bCs/>
                <w:sz w:val="24"/>
                <w:szCs w:val="24"/>
                <w:lang w:val="en-US" w:eastAsia="ru-RU"/>
              </w:rPr>
            </w:pPr>
            <w:r w:rsidRPr="00AA0377">
              <w:rPr>
                <w:rFonts w:ascii="Times New Roman" w:eastAsia="Times New Roman" w:hAnsi="Times New Roman" w:cs="Times New Roman"/>
                <w:b/>
                <w:bCs/>
                <w:sz w:val="24"/>
                <w:szCs w:val="24"/>
                <w:lang w:val="en-US" w:eastAsia="ru-RU"/>
              </w:rPr>
              <w:t>135%</w:t>
            </w:r>
          </w:p>
        </w:tc>
        <w:tc>
          <w:tcPr>
            <w:tcW w:w="1651" w:type="dxa"/>
            <w:tcBorders>
              <w:top w:val="nil"/>
              <w:left w:val="nil"/>
              <w:bottom w:val="single" w:sz="4" w:space="0" w:color="auto"/>
              <w:right w:val="single" w:sz="4" w:space="0" w:color="auto"/>
            </w:tcBorders>
            <w:shd w:val="clear" w:color="auto" w:fill="auto"/>
            <w:noWrap/>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3,449,174</w:t>
            </w:r>
          </w:p>
        </w:tc>
        <w:tc>
          <w:tcPr>
            <w:tcW w:w="1651" w:type="dxa"/>
            <w:tcBorders>
              <w:top w:val="nil"/>
              <w:left w:val="nil"/>
              <w:bottom w:val="single" w:sz="4" w:space="0" w:color="auto"/>
              <w:right w:val="single" w:sz="4" w:space="0" w:color="auto"/>
            </w:tcBorders>
            <w:shd w:val="clear" w:color="auto" w:fill="auto"/>
            <w:noWrap/>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2,555,170</w:t>
            </w:r>
          </w:p>
        </w:tc>
      </w:tr>
      <w:tr w:rsidR="00AA0377" w:rsidRPr="00AA0377" w:rsidTr="00C8135A">
        <w:trPr>
          <w:trHeight w:val="300"/>
        </w:trPr>
        <w:tc>
          <w:tcPr>
            <w:tcW w:w="3552" w:type="dxa"/>
            <w:tcBorders>
              <w:top w:val="nil"/>
              <w:left w:val="single" w:sz="4" w:space="0" w:color="auto"/>
              <w:bottom w:val="single" w:sz="4" w:space="0" w:color="auto"/>
              <w:right w:val="single" w:sz="4" w:space="0" w:color="auto"/>
            </w:tcBorders>
            <w:shd w:val="clear" w:color="auto" w:fill="auto"/>
            <w:vAlign w:val="bottom"/>
            <w:hideMark/>
          </w:tcPr>
          <w:p w:rsidR="00AA0377" w:rsidRPr="00AA0377" w:rsidRDefault="00AA0377" w:rsidP="00AA0377">
            <w:pPr>
              <w:spacing w:after="120" w:line="240" w:lineRule="auto"/>
              <w:ind w:left="34"/>
              <w:jc w:val="both"/>
              <w:rPr>
                <w:rFonts w:ascii="Times New Roman" w:eastAsia="Times New Roman" w:hAnsi="Times New Roman" w:cs="Times New Roman"/>
                <w:sz w:val="24"/>
                <w:szCs w:val="24"/>
                <w:lang w:val="en-US"/>
              </w:rPr>
            </w:pPr>
            <w:r w:rsidRPr="00AA0377">
              <w:rPr>
                <w:rFonts w:ascii="Times New Roman" w:hAnsi="Times New Roman" w:cs="Times New Roman"/>
                <w:sz w:val="24"/>
                <w:szCs w:val="24"/>
                <w:lang w:val="en-US"/>
              </w:rPr>
              <w:t>Commission expenses</w:t>
            </w:r>
          </w:p>
        </w:tc>
        <w:tc>
          <w:tcPr>
            <w:tcW w:w="1651" w:type="dxa"/>
            <w:tcBorders>
              <w:top w:val="nil"/>
              <w:left w:val="nil"/>
              <w:bottom w:val="single" w:sz="4" w:space="0" w:color="auto"/>
              <w:right w:val="single" w:sz="4" w:space="0" w:color="auto"/>
            </w:tcBorders>
            <w:shd w:val="clear" w:color="auto" w:fill="auto"/>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b/>
                <w:bCs/>
                <w:sz w:val="24"/>
                <w:szCs w:val="24"/>
                <w:lang w:val="en-US" w:eastAsia="ru-RU"/>
              </w:rPr>
            </w:pPr>
            <w:r w:rsidRPr="00AA0377">
              <w:rPr>
                <w:rFonts w:ascii="Times New Roman" w:eastAsia="Times New Roman" w:hAnsi="Times New Roman" w:cs="Times New Roman"/>
                <w:b/>
                <w:bCs/>
                <w:sz w:val="24"/>
                <w:szCs w:val="24"/>
                <w:lang w:val="en-US" w:eastAsia="ru-RU"/>
              </w:rPr>
              <w:t>118%</w:t>
            </w:r>
          </w:p>
        </w:tc>
        <w:tc>
          <w:tcPr>
            <w:tcW w:w="1651" w:type="dxa"/>
            <w:tcBorders>
              <w:top w:val="nil"/>
              <w:left w:val="nil"/>
              <w:bottom w:val="single" w:sz="4" w:space="0" w:color="auto"/>
              <w:right w:val="single" w:sz="4" w:space="0" w:color="auto"/>
            </w:tcBorders>
            <w:shd w:val="clear" w:color="auto" w:fill="auto"/>
            <w:noWrap/>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79,116</w:t>
            </w:r>
          </w:p>
        </w:tc>
        <w:tc>
          <w:tcPr>
            <w:tcW w:w="1651" w:type="dxa"/>
            <w:tcBorders>
              <w:top w:val="nil"/>
              <w:left w:val="nil"/>
              <w:bottom w:val="single" w:sz="4" w:space="0" w:color="auto"/>
              <w:right w:val="single" w:sz="4" w:space="0" w:color="auto"/>
            </w:tcBorders>
            <w:shd w:val="clear" w:color="auto" w:fill="auto"/>
            <w:noWrap/>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66,827</w:t>
            </w:r>
          </w:p>
        </w:tc>
      </w:tr>
      <w:tr w:rsidR="00AA0377" w:rsidRPr="00AA0377" w:rsidTr="00C8135A">
        <w:trPr>
          <w:trHeight w:val="488"/>
        </w:trPr>
        <w:tc>
          <w:tcPr>
            <w:tcW w:w="3552" w:type="dxa"/>
            <w:tcBorders>
              <w:top w:val="nil"/>
              <w:left w:val="single" w:sz="4" w:space="0" w:color="auto"/>
              <w:bottom w:val="single" w:sz="4" w:space="0" w:color="auto"/>
              <w:right w:val="single" w:sz="4" w:space="0" w:color="auto"/>
            </w:tcBorders>
            <w:shd w:val="clear" w:color="auto" w:fill="auto"/>
            <w:vAlign w:val="bottom"/>
            <w:hideMark/>
          </w:tcPr>
          <w:p w:rsidR="00AA0377" w:rsidRPr="00AA0377" w:rsidRDefault="00AA0377" w:rsidP="00AA0377">
            <w:pPr>
              <w:spacing w:after="120" w:line="240" w:lineRule="auto"/>
              <w:ind w:left="34"/>
              <w:jc w:val="both"/>
              <w:rPr>
                <w:rFonts w:ascii="Times New Roman" w:eastAsia="Times New Roman" w:hAnsi="Times New Roman" w:cs="Times New Roman"/>
                <w:sz w:val="24"/>
                <w:szCs w:val="24"/>
                <w:lang w:val="en-US"/>
              </w:rPr>
            </w:pPr>
            <w:r w:rsidRPr="00AA0377">
              <w:rPr>
                <w:rFonts w:ascii="Times New Roman" w:hAnsi="Times New Roman" w:cs="Times New Roman"/>
                <w:sz w:val="24"/>
                <w:szCs w:val="24"/>
                <w:lang w:val="en-US"/>
              </w:rPr>
              <w:t xml:space="preserve">Net (loss)/gain on financial assets measured at fair value through profit or loss </w:t>
            </w:r>
          </w:p>
        </w:tc>
        <w:tc>
          <w:tcPr>
            <w:tcW w:w="1651" w:type="dxa"/>
            <w:tcBorders>
              <w:top w:val="nil"/>
              <w:left w:val="nil"/>
              <w:bottom w:val="single" w:sz="4" w:space="0" w:color="auto"/>
              <w:right w:val="single" w:sz="4" w:space="0" w:color="auto"/>
            </w:tcBorders>
            <w:shd w:val="clear" w:color="auto" w:fill="auto"/>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b/>
                <w:bCs/>
                <w:sz w:val="24"/>
                <w:szCs w:val="24"/>
                <w:lang w:val="en-US" w:eastAsia="ru-RU"/>
              </w:rPr>
            </w:pPr>
            <w:r w:rsidRPr="00AA0377">
              <w:rPr>
                <w:rFonts w:ascii="Times New Roman" w:eastAsia="Times New Roman" w:hAnsi="Times New Roman" w:cs="Times New Roman"/>
                <w:b/>
                <w:bCs/>
                <w:sz w:val="24"/>
                <w:szCs w:val="24"/>
                <w:lang w:val="en-US" w:eastAsia="ru-RU"/>
              </w:rPr>
              <w:t> </w:t>
            </w:r>
          </w:p>
        </w:tc>
        <w:tc>
          <w:tcPr>
            <w:tcW w:w="1651" w:type="dxa"/>
            <w:tcBorders>
              <w:top w:val="nil"/>
              <w:left w:val="nil"/>
              <w:bottom w:val="single" w:sz="4" w:space="0" w:color="auto"/>
              <w:right w:val="single" w:sz="4" w:space="0" w:color="auto"/>
            </w:tcBorders>
            <w:shd w:val="clear" w:color="auto" w:fill="auto"/>
            <w:noWrap/>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-12</w:t>
            </w:r>
          </w:p>
        </w:tc>
        <w:tc>
          <w:tcPr>
            <w:tcW w:w="1651" w:type="dxa"/>
            <w:tcBorders>
              <w:top w:val="nil"/>
              <w:left w:val="nil"/>
              <w:bottom w:val="single" w:sz="4" w:space="0" w:color="auto"/>
              <w:right w:val="single" w:sz="4" w:space="0" w:color="auto"/>
            </w:tcBorders>
            <w:shd w:val="clear" w:color="auto" w:fill="auto"/>
            <w:noWrap/>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- 65,136</w:t>
            </w:r>
          </w:p>
        </w:tc>
      </w:tr>
      <w:tr w:rsidR="00AA0377" w:rsidRPr="00AA0377" w:rsidTr="00C8135A">
        <w:trPr>
          <w:trHeight w:val="849"/>
        </w:trPr>
        <w:tc>
          <w:tcPr>
            <w:tcW w:w="3552" w:type="dxa"/>
            <w:tcBorders>
              <w:top w:val="nil"/>
              <w:left w:val="single" w:sz="4" w:space="0" w:color="auto"/>
              <w:bottom w:val="single" w:sz="4" w:space="0" w:color="auto"/>
              <w:right w:val="single" w:sz="4" w:space="0" w:color="auto"/>
            </w:tcBorders>
            <w:shd w:val="clear" w:color="auto" w:fill="auto"/>
            <w:vAlign w:val="bottom"/>
            <w:hideMark/>
          </w:tcPr>
          <w:p w:rsidR="00AA0377" w:rsidRPr="00AA0377" w:rsidRDefault="00AA0377" w:rsidP="00AA0377">
            <w:pPr>
              <w:spacing w:after="120" w:line="240" w:lineRule="auto"/>
              <w:ind w:left="34"/>
              <w:jc w:val="both"/>
              <w:rPr>
                <w:rFonts w:ascii="Times New Roman" w:eastAsia="Times New Roman" w:hAnsi="Times New Roman" w:cs="Times New Roman"/>
                <w:sz w:val="24"/>
                <w:szCs w:val="24"/>
                <w:lang w:val="en-US"/>
              </w:rPr>
            </w:pPr>
            <w:r w:rsidRPr="00AA0377">
              <w:rPr>
                <w:rFonts w:ascii="Times New Roman" w:hAnsi="Times New Roman" w:cs="Times New Roman"/>
                <w:sz w:val="24"/>
                <w:szCs w:val="24"/>
                <w:lang w:val="en-US"/>
              </w:rPr>
              <w:t xml:space="preserve">Net income from trades with held-to-maturity securities </w:t>
            </w:r>
          </w:p>
        </w:tc>
        <w:tc>
          <w:tcPr>
            <w:tcW w:w="1651" w:type="dxa"/>
            <w:tcBorders>
              <w:top w:val="nil"/>
              <w:left w:val="nil"/>
              <w:bottom w:val="single" w:sz="4" w:space="0" w:color="auto"/>
              <w:right w:val="single" w:sz="4" w:space="0" w:color="auto"/>
            </w:tcBorders>
            <w:shd w:val="clear" w:color="auto" w:fill="auto"/>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b/>
                <w:bCs/>
                <w:sz w:val="24"/>
                <w:szCs w:val="24"/>
                <w:lang w:val="en-US" w:eastAsia="ru-RU"/>
              </w:rPr>
            </w:pPr>
            <w:r w:rsidRPr="00AA0377">
              <w:rPr>
                <w:rFonts w:ascii="Times New Roman" w:eastAsia="Times New Roman" w:hAnsi="Times New Roman" w:cs="Times New Roman"/>
                <w:b/>
                <w:bCs/>
                <w:sz w:val="24"/>
                <w:szCs w:val="24"/>
                <w:lang w:val="en-US" w:eastAsia="ru-RU"/>
              </w:rPr>
              <w:t> </w:t>
            </w:r>
          </w:p>
        </w:tc>
        <w:tc>
          <w:tcPr>
            <w:tcW w:w="1651" w:type="dxa"/>
            <w:tcBorders>
              <w:top w:val="nil"/>
              <w:left w:val="nil"/>
              <w:bottom w:val="single" w:sz="4" w:space="0" w:color="auto"/>
              <w:right w:val="single" w:sz="4" w:space="0" w:color="auto"/>
            </w:tcBorders>
            <w:shd w:val="clear" w:color="auto" w:fill="auto"/>
            <w:noWrap/>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-758</w:t>
            </w:r>
          </w:p>
        </w:tc>
        <w:tc>
          <w:tcPr>
            <w:tcW w:w="1651" w:type="dxa"/>
            <w:tcBorders>
              <w:top w:val="nil"/>
              <w:left w:val="nil"/>
              <w:bottom w:val="single" w:sz="4" w:space="0" w:color="auto"/>
              <w:right w:val="single" w:sz="4" w:space="0" w:color="auto"/>
            </w:tcBorders>
            <w:shd w:val="clear" w:color="auto" w:fill="auto"/>
            <w:noWrap/>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- 6,261</w:t>
            </w:r>
          </w:p>
        </w:tc>
      </w:tr>
      <w:tr w:rsidR="00AA0377" w:rsidRPr="00AA0377" w:rsidTr="00C8135A">
        <w:trPr>
          <w:trHeight w:val="495"/>
        </w:trPr>
        <w:tc>
          <w:tcPr>
            <w:tcW w:w="3552" w:type="dxa"/>
            <w:tcBorders>
              <w:top w:val="nil"/>
              <w:left w:val="single" w:sz="4" w:space="0" w:color="auto"/>
              <w:bottom w:val="single" w:sz="4" w:space="0" w:color="auto"/>
              <w:right w:val="single" w:sz="4" w:space="0" w:color="auto"/>
            </w:tcBorders>
            <w:shd w:val="clear" w:color="auto" w:fill="auto"/>
            <w:vAlign w:val="bottom"/>
            <w:hideMark/>
          </w:tcPr>
          <w:p w:rsidR="00AA0377" w:rsidRPr="00AA0377" w:rsidRDefault="00AA0377" w:rsidP="00AA0377">
            <w:pPr>
              <w:spacing w:after="120" w:line="240" w:lineRule="auto"/>
              <w:ind w:left="34"/>
              <w:jc w:val="both"/>
              <w:rPr>
                <w:rFonts w:ascii="Times New Roman" w:eastAsia="Times New Roman" w:hAnsi="Times New Roman" w:cs="Times New Roman"/>
                <w:sz w:val="24"/>
                <w:szCs w:val="24"/>
                <w:lang w:val="en-US"/>
              </w:rPr>
            </w:pPr>
            <w:r w:rsidRPr="00AA0377">
              <w:rPr>
                <w:rFonts w:ascii="Times New Roman" w:hAnsi="Times New Roman" w:cs="Times New Roman"/>
                <w:sz w:val="24"/>
                <w:szCs w:val="24"/>
                <w:lang w:val="en-US"/>
              </w:rPr>
              <w:t>Net income from trades with securities available for sale</w:t>
            </w:r>
          </w:p>
        </w:tc>
        <w:tc>
          <w:tcPr>
            <w:tcW w:w="1651" w:type="dxa"/>
            <w:tcBorders>
              <w:top w:val="nil"/>
              <w:left w:val="nil"/>
              <w:bottom w:val="single" w:sz="4" w:space="0" w:color="auto"/>
              <w:right w:val="single" w:sz="4" w:space="0" w:color="auto"/>
            </w:tcBorders>
            <w:shd w:val="clear" w:color="auto" w:fill="auto"/>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b/>
                <w:bCs/>
                <w:sz w:val="24"/>
                <w:szCs w:val="24"/>
                <w:lang w:val="en-US" w:eastAsia="ru-RU"/>
              </w:rPr>
            </w:pPr>
            <w:r w:rsidRPr="00AA0377">
              <w:rPr>
                <w:rFonts w:ascii="Times New Roman" w:eastAsia="Times New Roman" w:hAnsi="Times New Roman" w:cs="Times New Roman"/>
                <w:b/>
                <w:bCs/>
                <w:sz w:val="24"/>
                <w:szCs w:val="24"/>
                <w:lang w:val="en-US" w:eastAsia="ru-RU"/>
              </w:rPr>
              <w:t> </w:t>
            </w:r>
          </w:p>
        </w:tc>
        <w:tc>
          <w:tcPr>
            <w:tcW w:w="1651" w:type="dxa"/>
            <w:tcBorders>
              <w:top w:val="nil"/>
              <w:left w:val="nil"/>
              <w:bottom w:val="single" w:sz="4" w:space="0" w:color="auto"/>
              <w:right w:val="single" w:sz="4" w:space="0" w:color="auto"/>
            </w:tcBorders>
            <w:shd w:val="clear" w:color="auto" w:fill="auto"/>
            <w:noWrap/>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-454,710</w:t>
            </w:r>
          </w:p>
        </w:tc>
        <w:tc>
          <w:tcPr>
            <w:tcW w:w="1651" w:type="dxa"/>
            <w:tcBorders>
              <w:top w:val="nil"/>
              <w:left w:val="nil"/>
              <w:bottom w:val="single" w:sz="4" w:space="0" w:color="auto"/>
              <w:right w:val="single" w:sz="4" w:space="0" w:color="auto"/>
            </w:tcBorders>
            <w:shd w:val="clear" w:color="auto" w:fill="auto"/>
            <w:noWrap/>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- 676,011</w:t>
            </w:r>
          </w:p>
        </w:tc>
      </w:tr>
      <w:tr w:rsidR="00AA0377" w:rsidRPr="00AA0377" w:rsidTr="00C8135A">
        <w:trPr>
          <w:trHeight w:val="300"/>
        </w:trPr>
        <w:tc>
          <w:tcPr>
            <w:tcW w:w="3552" w:type="dxa"/>
            <w:tcBorders>
              <w:top w:val="nil"/>
              <w:left w:val="single" w:sz="4" w:space="0" w:color="auto"/>
              <w:bottom w:val="single" w:sz="4" w:space="0" w:color="auto"/>
              <w:right w:val="single" w:sz="4" w:space="0" w:color="auto"/>
            </w:tcBorders>
            <w:shd w:val="clear" w:color="auto" w:fill="auto"/>
            <w:vAlign w:val="bottom"/>
            <w:hideMark/>
          </w:tcPr>
          <w:p w:rsidR="00AA0377" w:rsidRPr="00AA0377" w:rsidRDefault="00AA0377" w:rsidP="00AA0377">
            <w:pPr>
              <w:spacing w:after="120" w:line="240" w:lineRule="auto"/>
              <w:ind w:left="34"/>
              <w:jc w:val="both"/>
              <w:rPr>
                <w:rFonts w:ascii="Times New Roman" w:eastAsia="Times New Roman" w:hAnsi="Times New Roman" w:cs="Times New Roman"/>
                <w:sz w:val="24"/>
                <w:szCs w:val="24"/>
                <w:lang w:val="en-US"/>
              </w:rPr>
            </w:pPr>
            <w:r w:rsidRPr="00AA0377">
              <w:rPr>
                <w:rFonts w:ascii="Times New Roman" w:hAnsi="Times New Roman" w:cs="Times New Roman"/>
                <w:sz w:val="24"/>
                <w:szCs w:val="24"/>
                <w:lang w:val="en-US"/>
              </w:rPr>
              <w:t xml:space="preserve">Net income from foreign currency trades </w:t>
            </w:r>
          </w:p>
        </w:tc>
        <w:tc>
          <w:tcPr>
            <w:tcW w:w="1651" w:type="dxa"/>
            <w:tcBorders>
              <w:top w:val="nil"/>
              <w:left w:val="nil"/>
              <w:bottom w:val="single" w:sz="4" w:space="0" w:color="auto"/>
              <w:right w:val="single" w:sz="4" w:space="0" w:color="auto"/>
            </w:tcBorders>
            <w:shd w:val="clear" w:color="auto" w:fill="auto"/>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b/>
                <w:bCs/>
                <w:sz w:val="24"/>
                <w:szCs w:val="24"/>
                <w:lang w:val="en-US" w:eastAsia="ru-RU"/>
              </w:rPr>
            </w:pPr>
            <w:r w:rsidRPr="00AA0377">
              <w:rPr>
                <w:rFonts w:ascii="Times New Roman" w:eastAsia="Times New Roman" w:hAnsi="Times New Roman" w:cs="Times New Roman"/>
                <w:b/>
                <w:bCs/>
                <w:sz w:val="24"/>
                <w:szCs w:val="24"/>
                <w:lang w:val="en-US" w:eastAsia="ru-RU"/>
              </w:rPr>
              <w:t> </w:t>
            </w:r>
          </w:p>
        </w:tc>
        <w:tc>
          <w:tcPr>
            <w:tcW w:w="1651" w:type="dxa"/>
            <w:tcBorders>
              <w:top w:val="nil"/>
              <w:left w:val="nil"/>
              <w:bottom w:val="single" w:sz="4" w:space="0" w:color="auto"/>
              <w:right w:val="single" w:sz="4" w:space="0" w:color="auto"/>
            </w:tcBorders>
            <w:shd w:val="clear" w:color="auto" w:fill="auto"/>
            <w:noWrap/>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81,510</w:t>
            </w:r>
          </w:p>
        </w:tc>
        <w:tc>
          <w:tcPr>
            <w:tcW w:w="1651" w:type="dxa"/>
            <w:tcBorders>
              <w:top w:val="nil"/>
              <w:left w:val="nil"/>
              <w:bottom w:val="single" w:sz="4" w:space="0" w:color="auto"/>
              <w:right w:val="single" w:sz="4" w:space="0" w:color="auto"/>
            </w:tcBorders>
            <w:shd w:val="clear" w:color="auto" w:fill="auto"/>
            <w:noWrap/>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227,829</w:t>
            </w:r>
          </w:p>
        </w:tc>
      </w:tr>
      <w:tr w:rsidR="00AA0377" w:rsidRPr="00AA0377" w:rsidTr="00C8135A">
        <w:trPr>
          <w:trHeight w:val="300"/>
        </w:trPr>
        <w:tc>
          <w:tcPr>
            <w:tcW w:w="3552" w:type="dxa"/>
            <w:tcBorders>
              <w:top w:val="nil"/>
              <w:left w:val="single" w:sz="4" w:space="0" w:color="auto"/>
              <w:bottom w:val="single" w:sz="4" w:space="0" w:color="auto"/>
              <w:right w:val="single" w:sz="4" w:space="0" w:color="auto"/>
            </w:tcBorders>
            <w:shd w:val="clear" w:color="auto" w:fill="auto"/>
            <w:vAlign w:val="bottom"/>
            <w:hideMark/>
          </w:tcPr>
          <w:p w:rsidR="00AA0377" w:rsidRPr="00AA0377" w:rsidRDefault="00AA0377" w:rsidP="00AA0377">
            <w:pPr>
              <w:spacing w:after="120" w:line="240" w:lineRule="auto"/>
              <w:ind w:left="34"/>
              <w:jc w:val="both"/>
              <w:rPr>
                <w:rFonts w:ascii="Times New Roman" w:eastAsia="Times New Roman" w:hAnsi="Times New Roman" w:cs="Times New Roman"/>
                <w:sz w:val="24"/>
                <w:szCs w:val="24"/>
                <w:lang w:val="en-US"/>
              </w:rPr>
            </w:pPr>
            <w:r w:rsidRPr="00AA0377">
              <w:rPr>
                <w:rFonts w:ascii="Times New Roman" w:hAnsi="Times New Roman" w:cs="Times New Roman"/>
                <w:sz w:val="24"/>
                <w:szCs w:val="24"/>
                <w:lang w:val="en-US"/>
              </w:rPr>
              <w:t xml:space="preserve">Net income from foreign currency revaluation </w:t>
            </w:r>
          </w:p>
        </w:tc>
        <w:tc>
          <w:tcPr>
            <w:tcW w:w="1651" w:type="dxa"/>
            <w:tcBorders>
              <w:top w:val="nil"/>
              <w:left w:val="nil"/>
              <w:bottom w:val="single" w:sz="4" w:space="0" w:color="auto"/>
              <w:right w:val="single" w:sz="4" w:space="0" w:color="auto"/>
            </w:tcBorders>
            <w:shd w:val="clear" w:color="auto" w:fill="auto"/>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b/>
                <w:bCs/>
                <w:sz w:val="24"/>
                <w:szCs w:val="24"/>
                <w:lang w:val="en-US" w:eastAsia="ru-RU"/>
              </w:rPr>
            </w:pPr>
            <w:r w:rsidRPr="00AA0377">
              <w:rPr>
                <w:rFonts w:ascii="Times New Roman" w:eastAsia="Times New Roman" w:hAnsi="Times New Roman" w:cs="Times New Roman"/>
                <w:b/>
                <w:bCs/>
                <w:sz w:val="24"/>
                <w:szCs w:val="24"/>
                <w:lang w:val="en-US" w:eastAsia="ru-RU"/>
              </w:rPr>
              <w:t> </w:t>
            </w:r>
          </w:p>
        </w:tc>
        <w:tc>
          <w:tcPr>
            <w:tcW w:w="1651" w:type="dxa"/>
            <w:tcBorders>
              <w:top w:val="nil"/>
              <w:left w:val="nil"/>
              <w:bottom w:val="single" w:sz="4" w:space="0" w:color="auto"/>
              <w:right w:val="single" w:sz="4" w:space="0" w:color="auto"/>
            </w:tcBorders>
            <w:shd w:val="clear" w:color="auto" w:fill="auto"/>
            <w:noWrap/>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36,617</w:t>
            </w:r>
          </w:p>
        </w:tc>
        <w:tc>
          <w:tcPr>
            <w:tcW w:w="1651" w:type="dxa"/>
            <w:tcBorders>
              <w:top w:val="nil"/>
              <w:left w:val="nil"/>
              <w:bottom w:val="single" w:sz="4" w:space="0" w:color="auto"/>
              <w:right w:val="single" w:sz="4" w:space="0" w:color="auto"/>
            </w:tcBorders>
            <w:shd w:val="clear" w:color="auto" w:fill="auto"/>
            <w:noWrap/>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- 204,132</w:t>
            </w:r>
          </w:p>
        </w:tc>
      </w:tr>
      <w:tr w:rsidR="00AA0377" w:rsidRPr="00AA0377" w:rsidTr="00C8135A">
        <w:trPr>
          <w:trHeight w:val="300"/>
        </w:trPr>
        <w:tc>
          <w:tcPr>
            <w:tcW w:w="3552" w:type="dxa"/>
            <w:tcBorders>
              <w:top w:val="nil"/>
              <w:left w:val="single" w:sz="4" w:space="0" w:color="auto"/>
              <w:bottom w:val="single" w:sz="4" w:space="0" w:color="auto"/>
              <w:right w:val="single" w:sz="4" w:space="0" w:color="auto"/>
            </w:tcBorders>
            <w:shd w:val="clear" w:color="auto" w:fill="auto"/>
            <w:vAlign w:val="bottom"/>
          </w:tcPr>
          <w:p w:rsidR="00AA0377" w:rsidRPr="00AA0377" w:rsidRDefault="00AA0377" w:rsidP="00AA0377">
            <w:pPr>
              <w:spacing w:after="120" w:line="240" w:lineRule="auto"/>
              <w:ind w:left="34"/>
              <w:jc w:val="both"/>
              <w:rPr>
                <w:rFonts w:ascii="Times New Roman" w:hAnsi="Times New Roman" w:cs="Times New Roman"/>
                <w:sz w:val="24"/>
                <w:szCs w:val="24"/>
                <w:lang w:val="en-US"/>
              </w:rPr>
            </w:pPr>
            <w:r w:rsidRPr="00AA0377">
              <w:rPr>
                <w:rFonts w:ascii="Times New Roman" w:hAnsi="Times New Roman" w:cs="Times New Roman"/>
                <w:sz w:val="24"/>
                <w:szCs w:val="24"/>
                <w:lang w:val="en-US"/>
              </w:rPr>
              <w:t>Provisions for impairment of held-to-maturity financial assets</w:t>
            </w:r>
          </w:p>
        </w:tc>
        <w:tc>
          <w:tcPr>
            <w:tcW w:w="1651" w:type="dxa"/>
            <w:tcBorders>
              <w:top w:val="nil"/>
              <w:left w:val="nil"/>
              <w:bottom w:val="single" w:sz="4" w:space="0" w:color="auto"/>
              <w:right w:val="single" w:sz="4" w:space="0" w:color="auto"/>
            </w:tcBorders>
            <w:shd w:val="clear" w:color="auto" w:fill="auto"/>
            <w:vAlign w:val="bottom"/>
          </w:tcPr>
          <w:p w:rsidR="00AA0377" w:rsidRPr="00AA0377" w:rsidRDefault="00AA0377" w:rsidP="00AA0377">
            <w:pPr>
              <w:spacing w:after="120" w:line="240" w:lineRule="auto"/>
              <w:ind w:left="34"/>
              <w:jc w:val="right"/>
              <w:rPr>
                <w:rFonts w:ascii="Times New Roman" w:eastAsia="Times New Roman" w:hAnsi="Times New Roman" w:cs="Times New Roman"/>
                <w:b/>
                <w:bCs/>
                <w:sz w:val="24"/>
                <w:szCs w:val="24"/>
                <w:lang w:val="en-US" w:eastAsia="ru-RU"/>
              </w:rPr>
            </w:pPr>
          </w:p>
        </w:tc>
        <w:tc>
          <w:tcPr>
            <w:tcW w:w="1651" w:type="dxa"/>
            <w:tcBorders>
              <w:top w:val="nil"/>
              <w:left w:val="nil"/>
              <w:bottom w:val="single" w:sz="4" w:space="0" w:color="auto"/>
              <w:right w:val="single" w:sz="4" w:space="0" w:color="auto"/>
            </w:tcBorders>
            <w:shd w:val="clear" w:color="auto" w:fill="auto"/>
            <w:noWrap/>
            <w:vAlign w:val="bottom"/>
          </w:tcPr>
          <w:p w:rsidR="00AA0377" w:rsidRPr="00AA0377" w:rsidRDefault="00AA0377" w:rsidP="00AA0377">
            <w:pPr>
              <w:spacing w:before="100" w:after="120" w:line="240" w:lineRule="auto"/>
              <w:ind w:left="34"/>
              <w:jc w:val="right"/>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558</w:t>
            </w:r>
          </w:p>
        </w:tc>
        <w:tc>
          <w:tcPr>
            <w:tcW w:w="1651" w:type="dxa"/>
            <w:tcBorders>
              <w:top w:val="nil"/>
              <w:left w:val="nil"/>
              <w:bottom w:val="single" w:sz="4" w:space="0" w:color="auto"/>
              <w:right w:val="single" w:sz="4" w:space="0" w:color="auto"/>
            </w:tcBorders>
            <w:shd w:val="clear" w:color="auto" w:fill="auto"/>
            <w:noWrap/>
            <w:vAlign w:val="bottom"/>
          </w:tcPr>
          <w:p w:rsidR="00AA0377" w:rsidRPr="00AA0377" w:rsidRDefault="00AA0377" w:rsidP="00AA0377">
            <w:pPr>
              <w:spacing w:before="100" w:after="120" w:line="240" w:lineRule="auto"/>
              <w:ind w:left="34"/>
              <w:jc w:val="right"/>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0</w:t>
            </w:r>
          </w:p>
        </w:tc>
      </w:tr>
      <w:tr w:rsidR="00AA0377" w:rsidRPr="00AA0377" w:rsidTr="00C8135A">
        <w:trPr>
          <w:trHeight w:val="300"/>
        </w:trPr>
        <w:tc>
          <w:tcPr>
            <w:tcW w:w="3552" w:type="dxa"/>
            <w:tcBorders>
              <w:top w:val="nil"/>
              <w:left w:val="single" w:sz="4" w:space="0" w:color="auto"/>
              <w:bottom w:val="single" w:sz="4" w:space="0" w:color="auto"/>
              <w:right w:val="single" w:sz="4" w:space="0" w:color="auto"/>
            </w:tcBorders>
            <w:shd w:val="clear" w:color="auto" w:fill="auto"/>
            <w:vAlign w:val="bottom"/>
          </w:tcPr>
          <w:p w:rsidR="00AA0377" w:rsidRPr="00AA0377" w:rsidRDefault="00AA0377" w:rsidP="00AA0377">
            <w:pPr>
              <w:spacing w:after="120" w:line="240" w:lineRule="auto"/>
              <w:ind w:left="34"/>
              <w:jc w:val="both"/>
              <w:rPr>
                <w:rFonts w:ascii="Times New Roman" w:hAnsi="Times New Roman" w:cs="Times New Roman"/>
                <w:sz w:val="24"/>
                <w:szCs w:val="24"/>
                <w:lang w:val="en-US"/>
              </w:rPr>
            </w:pPr>
            <w:r w:rsidRPr="00AA0377">
              <w:rPr>
                <w:rFonts w:ascii="Times New Roman" w:hAnsi="Times New Roman" w:cs="Times New Roman"/>
                <w:sz w:val="24"/>
                <w:szCs w:val="24"/>
                <w:lang w:val="en-US"/>
              </w:rPr>
              <w:t>Provisions for impairment of other assets</w:t>
            </w:r>
          </w:p>
        </w:tc>
        <w:tc>
          <w:tcPr>
            <w:tcW w:w="1651" w:type="dxa"/>
            <w:tcBorders>
              <w:top w:val="nil"/>
              <w:left w:val="nil"/>
              <w:bottom w:val="single" w:sz="4" w:space="0" w:color="auto"/>
              <w:right w:val="single" w:sz="4" w:space="0" w:color="auto"/>
            </w:tcBorders>
            <w:shd w:val="clear" w:color="auto" w:fill="auto"/>
            <w:vAlign w:val="bottom"/>
          </w:tcPr>
          <w:p w:rsidR="00AA0377" w:rsidRPr="00AA0377" w:rsidRDefault="00AA0377" w:rsidP="00AA0377">
            <w:pPr>
              <w:spacing w:after="120" w:line="240" w:lineRule="auto"/>
              <w:ind w:left="34"/>
              <w:jc w:val="right"/>
              <w:rPr>
                <w:rFonts w:ascii="Times New Roman" w:eastAsia="Times New Roman" w:hAnsi="Times New Roman" w:cs="Times New Roman"/>
                <w:b/>
                <w:bCs/>
                <w:sz w:val="24"/>
                <w:szCs w:val="24"/>
                <w:lang w:val="en-US" w:eastAsia="ru-RU"/>
              </w:rPr>
            </w:pPr>
          </w:p>
        </w:tc>
        <w:tc>
          <w:tcPr>
            <w:tcW w:w="1651" w:type="dxa"/>
            <w:tcBorders>
              <w:top w:val="nil"/>
              <w:left w:val="nil"/>
              <w:bottom w:val="single" w:sz="4" w:space="0" w:color="auto"/>
              <w:right w:val="single" w:sz="4" w:space="0" w:color="auto"/>
            </w:tcBorders>
            <w:shd w:val="clear" w:color="auto" w:fill="auto"/>
            <w:noWrap/>
            <w:vAlign w:val="bottom"/>
          </w:tcPr>
          <w:p w:rsidR="00AA0377" w:rsidRPr="00AA0377" w:rsidRDefault="00AA0377" w:rsidP="00AA0377">
            <w:pPr>
              <w:spacing w:before="100" w:after="120" w:line="240" w:lineRule="auto"/>
              <w:ind w:left="34"/>
              <w:jc w:val="right"/>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-31,122</w:t>
            </w:r>
          </w:p>
        </w:tc>
        <w:tc>
          <w:tcPr>
            <w:tcW w:w="1651" w:type="dxa"/>
            <w:tcBorders>
              <w:top w:val="nil"/>
              <w:left w:val="nil"/>
              <w:bottom w:val="single" w:sz="4" w:space="0" w:color="auto"/>
              <w:right w:val="single" w:sz="4" w:space="0" w:color="auto"/>
            </w:tcBorders>
            <w:shd w:val="clear" w:color="auto" w:fill="auto"/>
            <w:noWrap/>
            <w:vAlign w:val="bottom"/>
          </w:tcPr>
          <w:p w:rsidR="00AA0377" w:rsidRPr="00AA0377" w:rsidRDefault="00AA0377" w:rsidP="00AA0377">
            <w:pPr>
              <w:spacing w:before="100" w:after="120" w:line="240" w:lineRule="auto"/>
              <w:ind w:left="34"/>
              <w:jc w:val="right"/>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2,834</w:t>
            </w:r>
          </w:p>
        </w:tc>
      </w:tr>
      <w:tr w:rsidR="00AA0377" w:rsidRPr="00AA0377" w:rsidTr="00C8135A">
        <w:trPr>
          <w:trHeight w:val="300"/>
        </w:trPr>
        <w:tc>
          <w:tcPr>
            <w:tcW w:w="3552" w:type="dxa"/>
            <w:tcBorders>
              <w:top w:val="nil"/>
              <w:left w:val="single" w:sz="4" w:space="0" w:color="auto"/>
              <w:bottom w:val="single" w:sz="4" w:space="0" w:color="auto"/>
              <w:right w:val="single" w:sz="4" w:space="0" w:color="auto"/>
            </w:tcBorders>
            <w:shd w:val="clear" w:color="auto" w:fill="auto"/>
            <w:vAlign w:val="bottom"/>
            <w:hideMark/>
          </w:tcPr>
          <w:p w:rsidR="00AA0377" w:rsidRPr="00AA0377" w:rsidRDefault="00AA0377" w:rsidP="00AA0377">
            <w:pPr>
              <w:spacing w:after="120" w:line="240" w:lineRule="auto"/>
              <w:ind w:left="34"/>
              <w:jc w:val="both"/>
              <w:rPr>
                <w:rFonts w:ascii="Times New Roman" w:eastAsia="Times New Roman" w:hAnsi="Times New Roman" w:cs="Times New Roman"/>
                <w:sz w:val="24"/>
                <w:szCs w:val="24"/>
                <w:lang w:val="en-US"/>
              </w:rPr>
            </w:pPr>
            <w:r w:rsidRPr="00AA0377">
              <w:rPr>
                <w:rFonts w:ascii="Times New Roman" w:hAnsi="Times New Roman" w:cs="Times New Roman"/>
                <w:sz w:val="24"/>
                <w:szCs w:val="24"/>
                <w:lang w:val="en-US"/>
              </w:rPr>
              <w:t xml:space="preserve">Other income </w:t>
            </w:r>
          </w:p>
        </w:tc>
        <w:tc>
          <w:tcPr>
            <w:tcW w:w="1651" w:type="dxa"/>
            <w:tcBorders>
              <w:top w:val="nil"/>
              <w:left w:val="nil"/>
              <w:bottom w:val="single" w:sz="4" w:space="0" w:color="auto"/>
              <w:right w:val="single" w:sz="4" w:space="0" w:color="auto"/>
            </w:tcBorders>
            <w:shd w:val="clear" w:color="auto" w:fill="auto"/>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b/>
                <w:bCs/>
                <w:sz w:val="24"/>
                <w:szCs w:val="24"/>
                <w:lang w:val="en-US" w:eastAsia="ru-RU"/>
              </w:rPr>
            </w:pPr>
            <w:r w:rsidRPr="00AA0377">
              <w:rPr>
                <w:rFonts w:ascii="Times New Roman" w:eastAsia="Times New Roman" w:hAnsi="Times New Roman" w:cs="Times New Roman"/>
                <w:b/>
                <w:bCs/>
                <w:sz w:val="24"/>
                <w:szCs w:val="24"/>
                <w:lang w:val="en-US" w:eastAsia="ru-RU"/>
              </w:rPr>
              <w:t> </w:t>
            </w:r>
          </w:p>
        </w:tc>
        <w:tc>
          <w:tcPr>
            <w:tcW w:w="1651" w:type="dxa"/>
            <w:tcBorders>
              <w:top w:val="nil"/>
              <w:left w:val="nil"/>
              <w:bottom w:val="single" w:sz="4" w:space="0" w:color="auto"/>
              <w:right w:val="single" w:sz="4" w:space="0" w:color="auto"/>
            </w:tcBorders>
            <w:shd w:val="clear" w:color="auto" w:fill="auto"/>
            <w:noWrap/>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13,905</w:t>
            </w:r>
          </w:p>
        </w:tc>
        <w:tc>
          <w:tcPr>
            <w:tcW w:w="1651" w:type="dxa"/>
            <w:tcBorders>
              <w:top w:val="nil"/>
              <w:left w:val="nil"/>
              <w:bottom w:val="single" w:sz="4" w:space="0" w:color="auto"/>
              <w:right w:val="single" w:sz="4" w:space="0" w:color="auto"/>
            </w:tcBorders>
            <w:shd w:val="clear" w:color="auto" w:fill="auto"/>
            <w:noWrap/>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12,042</w:t>
            </w:r>
          </w:p>
        </w:tc>
      </w:tr>
      <w:tr w:rsidR="00AA0377" w:rsidRPr="00AA0377" w:rsidTr="00C8135A">
        <w:trPr>
          <w:trHeight w:val="300"/>
        </w:trPr>
        <w:tc>
          <w:tcPr>
            <w:tcW w:w="3552" w:type="dxa"/>
            <w:tcBorders>
              <w:top w:val="nil"/>
              <w:left w:val="single" w:sz="4" w:space="0" w:color="auto"/>
              <w:bottom w:val="single" w:sz="4" w:space="0" w:color="auto"/>
              <w:right w:val="single" w:sz="4" w:space="0" w:color="auto"/>
            </w:tcBorders>
            <w:shd w:val="clear" w:color="auto" w:fill="auto"/>
            <w:vAlign w:val="bottom"/>
            <w:hideMark/>
          </w:tcPr>
          <w:p w:rsidR="00AA0377" w:rsidRPr="00AA0377" w:rsidRDefault="00AA0377" w:rsidP="00AA0377">
            <w:pPr>
              <w:spacing w:after="120" w:line="240" w:lineRule="auto"/>
              <w:ind w:left="34"/>
              <w:jc w:val="both"/>
              <w:rPr>
                <w:rFonts w:ascii="Times New Roman" w:eastAsia="Times New Roman" w:hAnsi="Times New Roman" w:cs="Times New Roman"/>
                <w:sz w:val="24"/>
                <w:szCs w:val="24"/>
                <w:lang w:val="en-US"/>
              </w:rPr>
            </w:pPr>
            <w:r w:rsidRPr="00AA0377">
              <w:rPr>
                <w:rFonts w:ascii="Times New Roman" w:hAnsi="Times New Roman" w:cs="Times New Roman"/>
                <w:sz w:val="24"/>
                <w:szCs w:val="24"/>
                <w:lang w:val="en-US"/>
              </w:rPr>
              <w:t>NET INCOME</w:t>
            </w:r>
          </w:p>
        </w:tc>
        <w:tc>
          <w:tcPr>
            <w:tcW w:w="1651" w:type="dxa"/>
            <w:tcBorders>
              <w:top w:val="nil"/>
              <w:left w:val="nil"/>
              <w:bottom w:val="single" w:sz="4" w:space="0" w:color="auto"/>
              <w:right w:val="single" w:sz="4" w:space="0" w:color="auto"/>
            </w:tcBorders>
            <w:shd w:val="clear" w:color="auto" w:fill="auto"/>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b/>
                <w:bCs/>
                <w:sz w:val="24"/>
                <w:szCs w:val="24"/>
                <w:lang w:val="en-US" w:eastAsia="ru-RU"/>
              </w:rPr>
            </w:pPr>
            <w:r w:rsidRPr="00AA0377">
              <w:rPr>
                <w:rFonts w:ascii="Times New Roman" w:eastAsia="Times New Roman" w:hAnsi="Times New Roman" w:cs="Times New Roman"/>
                <w:b/>
                <w:bCs/>
                <w:sz w:val="24"/>
                <w:szCs w:val="24"/>
                <w:lang w:val="en-US" w:eastAsia="ru-RU"/>
              </w:rPr>
              <w:t>164%</w:t>
            </w:r>
          </w:p>
        </w:tc>
        <w:tc>
          <w:tcPr>
            <w:tcW w:w="1651" w:type="dxa"/>
            <w:tcBorders>
              <w:top w:val="nil"/>
              <w:left w:val="nil"/>
              <w:bottom w:val="single" w:sz="4" w:space="0" w:color="auto"/>
              <w:right w:val="single" w:sz="4" w:space="0" w:color="auto"/>
            </w:tcBorders>
            <w:shd w:val="clear" w:color="auto" w:fill="auto"/>
            <w:noWrap/>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9,251,089</w:t>
            </w:r>
          </w:p>
        </w:tc>
        <w:tc>
          <w:tcPr>
            <w:tcW w:w="1651" w:type="dxa"/>
            <w:tcBorders>
              <w:top w:val="nil"/>
              <w:left w:val="nil"/>
              <w:bottom w:val="single" w:sz="4" w:space="0" w:color="auto"/>
              <w:right w:val="single" w:sz="4" w:space="0" w:color="auto"/>
            </w:tcBorders>
            <w:shd w:val="clear" w:color="auto" w:fill="auto"/>
            <w:noWrap/>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5,645,872</w:t>
            </w:r>
          </w:p>
        </w:tc>
      </w:tr>
      <w:tr w:rsidR="00AA0377" w:rsidRPr="00AA0377" w:rsidTr="00C8135A">
        <w:trPr>
          <w:trHeight w:val="300"/>
        </w:trPr>
        <w:tc>
          <w:tcPr>
            <w:tcW w:w="3552" w:type="dxa"/>
            <w:tcBorders>
              <w:top w:val="nil"/>
              <w:left w:val="single" w:sz="4" w:space="0" w:color="auto"/>
              <w:bottom w:val="single" w:sz="4" w:space="0" w:color="auto"/>
              <w:right w:val="single" w:sz="4" w:space="0" w:color="auto"/>
            </w:tcBorders>
            <w:shd w:val="clear" w:color="auto" w:fill="auto"/>
            <w:vAlign w:val="bottom"/>
            <w:hideMark/>
          </w:tcPr>
          <w:p w:rsidR="00AA0377" w:rsidRPr="00AA0377" w:rsidRDefault="00AA0377" w:rsidP="00AA0377">
            <w:pPr>
              <w:spacing w:after="120" w:line="240" w:lineRule="auto"/>
              <w:ind w:left="34"/>
              <w:jc w:val="both"/>
              <w:rPr>
                <w:rFonts w:ascii="Times New Roman" w:eastAsia="Times New Roman" w:hAnsi="Times New Roman" w:cs="Times New Roman"/>
                <w:sz w:val="24"/>
                <w:szCs w:val="24"/>
                <w:lang w:val="en-US"/>
              </w:rPr>
            </w:pPr>
            <w:r w:rsidRPr="00AA0377">
              <w:rPr>
                <w:rFonts w:ascii="Times New Roman" w:hAnsi="Times New Roman" w:cs="Times New Roman"/>
                <w:sz w:val="24"/>
                <w:szCs w:val="24"/>
                <w:lang w:val="en-US"/>
              </w:rPr>
              <w:t xml:space="preserve">OPERATING EXPENSES </w:t>
            </w:r>
          </w:p>
        </w:tc>
        <w:tc>
          <w:tcPr>
            <w:tcW w:w="1651" w:type="dxa"/>
            <w:tcBorders>
              <w:top w:val="nil"/>
              <w:left w:val="nil"/>
              <w:bottom w:val="single" w:sz="4" w:space="0" w:color="auto"/>
              <w:right w:val="single" w:sz="4" w:space="0" w:color="auto"/>
            </w:tcBorders>
            <w:shd w:val="clear" w:color="auto" w:fill="auto"/>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b/>
                <w:bCs/>
                <w:sz w:val="24"/>
                <w:szCs w:val="24"/>
                <w:lang w:val="en-US" w:eastAsia="ru-RU"/>
              </w:rPr>
            </w:pPr>
            <w:r w:rsidRPr="00AA0377">
              <w:rPr>
                <w:rFonts w:ascii="Times New Roman" w:eastAsia="Times New Roman" w:hAnsi="Times New Roman" w:cs="Times New Roman"/>
                <w:b/>
                <w:bCs/>
                <w:sz w:val="24"/>
                <w:szCs w:val="24"/>
                <w:lang w:val="en-US" w:eastAsia="ru-RU"/>
              </w:rPr>
              <w:t>121%</w:t>
            </w:r>
          </w:p>
        </w:tc>
        <w:tc>
          <w:tcPr>
            <w:tcW w:w="1651" w:type="dxa"/>
            <w:tcBorders>
              <w:top w:val="nil"/>
              <w:left w:val="nil"/>
              <w:bottom w:val="single" w:sz="4" w:space="0" w:color="auto"/>
              <w:right w:val="single" w:sz="4" w:space="0" w:color="auto"/>
            </w:tcBorders>
            <w:shd w:val="clear" w:color="auto" w:fill="auto"/>
            <w:noWrap/>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1,271,056</w:t>
            </w:r>
          </w:p>
        </w:tc>
        <w:tc>
          <w:tcPr>
            <w:tcW w:w="1651" w:type="dxa"/>
            <w:tcBorders>
              <w:top w:val="nil"/>
              <w:left w:val="nil"/>
              <w:bottom w:val="single" w:sz="4" w:space="0" w:color="auto"/>
              <w:right w:val="single" w:sz="4" w:space="0" w:color="auto"/>
            </w:tcBorders>
            <w:shd w:val="clear" w:color="auto" w:fill="auto"/>
            <w:noWrap/>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1,054,756</w:t>
            </w:r>
          </w:p>
        </w:tc>
      </w:tr>
      <w:tr w:rsidR="00AA0377" w:rsidRPr="00AA0377" w:rsidTr="00C8135A">
        <w:trPr>
          <w:trHeight w:val="300"/>
        </w:trPr>
        <w:tc>
          <w:tcPr>
            <w:tcW w:w="3552" w:type="dxa"/>
            <w:tcBorders>
              <w:top w:val="nil"/>
              <w:left w:val="single" w:sz="4" w:space="0" w:color="auto"/>
              <w:bottom w:val="single" w:sz="4" w:space="0" w:color="auto"/>
              <w:right w:val="single" w:sz="4" w:space="0" w:color="auto"/>
            </w:tcBorders>
            <w:shd w:val="clear" w:color="auto" w:fill="auto"/>
            <w:vAlign w:val="bottom"/>
            <w:hideMark/>
          </w:tcPr>
          <w:p w:rsidR="00AA0377" w:rsidRPr="00AA0377" w:rsidRDefault="00AA0377" w:rsidP="00AA0377">
            <w:pPr>
              <w:spacing w:after="120" w:line="240" w:lineRule="auto"/>
              <w:ind w:left="34"/>
              <w:jc w:val="both"/>
              <w:rPr>
                <w:rFonts w:ascii="Times New Roman" w:eastAsia="Times New Roman" w:hAnsi="Times New Roman" w:cs="Times New Roman"/>
                <w:sz w:val="24"/>
                <w:szCs w:val="24"/>
                <w:lang w:val="en-US"/>
              </w:rPr>
            </w:pPr>
            <w:r w:rsidRPr="00AA0377">
              <w:rPr>
                <w:rFonts w:ascii="Times New Roman" w:hAnsi="Times New Roman" w:cs="Times New Roman"/>
                <w:sz w:val="24"/>
                <w:szCs w:val="24"/>
                <w:lang w:val="en-US"/>
              </w:rPr>
              <w:t xml:space="preserve">PROFIT BEFORE TAX </w:t>
            </w:r>
          </w:p>
        </w:tc>
        <w:tc>
          <w:tcPr>
            <w:tcW w:w="1651" w:type="dxa"/>
            <w:tcBorders>
              <w:top w:val="nil"/>
              <w:left w:val="nil"/>
              <w:bottom w:val="single" w:sz="4" w:space="0" w:color="auto"/>
              <w:right w:val="single" w:sz="4" w:space="0" w:color="auto"/>
            </w:tcBorders>
            <w:shd w:val="clear" w:color="auto" w:fill="auto"/>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b/>
                <w:bCs/>
                <w:sz w:val="24"/>
                <w:szCs w:val="24"/>
                <w:lang w:val="en-US" w:eastAsia="ru-RU"/>
              </w:rPr>
            </w:pPr>
            <w:r w:rsidRPr="00AA0377">
              <w:rPr>
                <w:rFonts w:ascii="Times New Roman" w:eastAsia="Times New Roman" w:hAnsi="Times New Roman" w:cs="Times New Roman"/>
                <w:b/>
                <w:bCs/>
                <w:sz w:val="24"/>
                <w:szCs w:val="24"/>
                <w:lang w:val="en-US" w:eastAsia="ru-RU"/>
              </w:rPr>
              <w:t>174%</w:t>
            </w:r>
          </w:p>
        </w:tc>
        <w:tc>
          <w:tcPr>
            <w:tcW w:w="1651" w:type="dxa"/>
            <w:tcBorders>
              <w:top w:val="nil"/>
              <w:left w:val="nil"/>
              <w:bottom w:val="single" w:sz="4" w:space="0" w:color="auto"/>
              <w:right w:val="single" w:sz="4" w:space="0" w:color="auto"/>
            </w:tcBorders>
            <w:shd w:val="clear" w:color="auto" w:fill="auto"/>
            <w:noWrap/>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7,980,033</w:t>
            </w:r>
          </w:p>
        </w:tc>
        <w:tc>
          <w:tcPr>
            <w:tcW w:w="1651" w:type="dxa"/>
            <w:tcBorders>
              <w:top w:val="nil"/>
              <w:left w:val="nil"/>
              <w:bottom w:val="single" w:sz="4" w:space="0" w:color="auto"/>
              <w:right w:val="single" w:sz="4" w:space="0" w:color="auto"/>
            </w:tcBorders>
            <w:shd w:val="clear" w:color="auto" w:fill="auto"/>
            <w:noWrap/>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4,591,116</w:t>
            </w:r>
          </w:p>
        </w:tc>
      </w:tr>
      <w:tr w:rsidR="00AA0377" w:rsidRPr="00AA0377" w:rsidTr="00C8135A">
        <w:trPr>
          <w:trHeight w:val="300"/>
        </w:trPr>
        <w:tc>
          <w:tcPr>
            <w:tcW w:w="3552" w:type="dxa"/>
            <w:tcBorders>
              <w:top w:val="nil"/>
              <w:left w:val="single" w:sz="4" w:space="0" w:color="auto"/>
              <w:bottom w:val="single" w:sz="4" w:space="0" w:color="auto"/>
              <w:right w:val="single" w:sz="4" w:space="0" w:color="auto"/>
            </w:tcBorders>
            <w:shd w:val="clear" w:color="auto" w:fill="auto"/>
            <w:vAlign w:val="bottom"/>
            <w:hideMark/>
          </w:tcPr>
          <w:p w:rsidR="00AA0377" w:rsidRPr="00AA0377" w:rsidRDefault="00AA0377" w:rsidP="00AA0377">
            <w:pPr>
              <w:spacing w:after="120" w:line="240" w:lineRule="auto"/>
              <w:ind w:left="34"/>
              <w:jc w:val="both"/>
              <w:rPr>
                <w:rFonts w:ascii="Times New Roman" w:eastAsia="Times New Roman" w:hAnsi="Times New Roman" w:cs="Times New Roman"/>
                <w:sz w:val="24"/>
                <w:szCs w:val="24"/>
                <w:lang w:val="en-US"/>
              </w:rPr>
            </w:pPr>
            <w:r w:rsidRPr="00AA0377">
              <w:rPr>
                <w:rFonts w:ascii="Times New Roman" w:hAnsi="Times New Roman" w:cs="Times New Roman"/>
                <w:sz w:val="24"/>
                <w:szCs w:val="24"/>
                <w:lang w:val="en-US"/>
              </w:rPr>
              <w:t>Accrued (paid) taxes</w:t>
            </w:r>
          </w:p>
        </w:tc>
        <w:tc>
          <w:tcPr>
            <w:tcW w:w="1651" w:type="dxa"/>
            <w:tcBorders>
              <w:top w:val="nil"/>
              <w:left w:val="nil"/>
              <w:bottom w:val="single" w:sz="4" w:space="0" w:color="auto"/>
              <w:right w:val="single" w:sz="4" w:space="0" w:color="auto"/>
            </w:tcBorders>
            <w:shd w:val="clear" w:color="auto" w:fill="auto"/>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b/>
                <w:bCs/>
                <w:sz w:val="24"/>
                <w:szCs w:val="24"/>
                <w:lang w:val="en-US" w:eastAsia="ru-RU"/>
              </w:rPr>
            </w:pPr>
            <w:r w:rsidRPr="00AA0377">
              <w:rPr>
                <w:rFonts w:ascii="Times New Roman" w:eastAsia="Times New Roman" w:hAnsi="Times New Roman" w:cs="Times New Roman"/>
                <w:b/>
                <w:bCs/>
                <w:sz w:val="24"/>
                <w:szCs w:val="24"/>
                <w:lang w:val="en-US" w:eastAsia="ru-RU"/>
              </w:rPr>
              <w:t> </w:t>
            </w:r>
          </w:p>
        </w:tc>
        <w:tc>
          <w:tcPr>
            <w:tcW w:w="1651" w:type="dxa"/>
            <w:tcBorders>
              <w:top w:val="nil"/>
              <w:left w:val="nil"/>
              <w:bottom w:val="single" w:sz="4" w:space="0" w:color="auto"/>
              <w:right w:val="single" w:sz="4" w:space="0" w:color="auto"/>
            </w:tcBorders>
            <w:shd w:val="clear" w:color="auto" w:fill="auto"/>
            <w:noWrap/>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1,622,141</w:t>
            </w:r>
          </w:p>
        </w:tc>
        <w:tc>
          <w:tcPr>
            <w:tcW w:w="1651" w:type="dxa"/>
            <w:tcBorders>
              <w:top w:val="nil"/>
              <w:left w:val="nil"/>
              <w:bottom w:val="single" w:sz="4" w:space="0" w:color="auto"/>
              <w:right w:val="single" w:sz="4" w:space="0" w:color="auto"/>
            </w:tcBorders>
            <w:shd w:val="clear" w:color="auto" w:fill="auto"/>
            <w:noWrap/>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1,073,426</w:t>
            </w:r>
          </w:p>
        </w:tc>
      </w:tr>
      <w:tr w:rsidR="00AA0377" w:rsidRPr="00AA0377" w:rsidTr="00C8135A">
        <w:trPr>
          <w:trHeight w:val="300"/>
        </w:trPr>
        <w:tc>
          <w:tcPr>
            <w:tcW w:w="3552" w:type="dxa"/>
            <w:tcBorders>
              <w:top w:val="nil"/>
              <w:left w:val="single" w:sz="4" w:space="0" w:color="auto"/>
              <w:bottom w:val="single" w:sz="4" w:space="0" w:color="auto"/>
              <w:right w:val="single" w:sz="4" w:space="0" w:color="auto"/>
            </w:tcBorders>
            <w:shd w:val="clear" w:color="auto" w:fill="auto"/>
            <w:vAlign w:val="bottom"/>
            <w:hideMark/>
          </w:tcPr>
          <w:p w:rsidR="00AA0377" w:rsidRPr="00AA0377" w:rsidRDefault="00AA0377" w:rsidP="00AA0377">
            <w:pPr>
              <w:spacing w:after="120" w:line="240" w:lineRule="auto"/>
              <w:ind w:left="34"/>
              <w:jc w:val="both"/>
              <w:rPr>
                <w:rFonts w:ascii="Times New Roman" w:eastAsia="Times New Roman" w:hAnsi="Times New Roman" w:cs="Times New Roman"/>
                <w:b/>
                <w:bCs/>
                <w:sz w:val="24"/>
                <w:szCs w:val="24"/>
                <w:lang w:val="en-US"/>
              </w:rPr>
            </w:pPr>
            <w:r w:rsidRPr="00AA0377">
              <w:rPr>
                <w:rFonts w:ascii="Times New Roman" w:hAnsi="Times New Roman" w:cs="Times New Roman"/>
                <w:b/>
                <w:sz w:val="24"/>
                <w:szCs w:val="24"/>
                <w:lang w:val="en-US"/>
              </w:rPr>
              <w:t>NET PROFIT</w:t>
            </w:r>
          </w:p>
        </w:tc>
        <w:tc>
          <w:tcPr>
            <w:tcW w:w="1651" w:type="dxa"/>
            <w:tcBorders>
              <w:top w:val="nil"/>
              <w:left w:val="nil"/>
              <w:bottom w:val="single" w:sz="4" w:space="0" w:color="auto"/>
              <w:right w:val="single" w:sz="4" w:space="0" w:color="auto"/>
            </w:tcBorders>
            <w:shd w:val="clear" w:color="auto" w:fill="auto"/>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b/>
                <w:bCs/>
                <w:sz w:val="24"/>
                <w:szCs w:val="24"/>
                <w:lang w:val="en-US" w:eastAsia="ru-RU"/>
              </w:rPr>
            </w:pPr>
            <w:r w:rsidRPr="00AA0377">
              <w:rPr>
                <w:rFonts w:ascii="Times New Roman" w:eastAsia="Times New Roman" w:hAnsi="Times New Roman" w:cs="Times New Roman"/>
                <w:b/>
                <w:bCs/>
                <w:sz w:val="24"/>
                <w:szCs w:val="24"/>
                <w:lang w:val="en-US" w:eastAsia="ru-RU"/>
              </w:rPr>
              <w:t>181%</w:t>
            </w:r>
          </w:p>
        </w:tc>
        <w:tc>
          <w:tcPr>
            <w:tcW w:w="1651" w:type="dxa"/>
            <w:tcBorders>
              <w:top w:val="nil"/>
              <w:left w:val="nil"/>
              <w:bottom w:val="single" w:sz="4" w:space="0" w:color="auto"/>
              <w:right w:val="single" w:sz="4" w:space="0" w:color="auto"/>
            </w:tcBorders>
            <w:shd w:val="clear" w:color="auto" w:fill="auto"/>
            <w:noWrap/>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b/>
                <w:bCs/>
                <w:sz w:val="24"/>
                <w:szCs w:val="24"/>
                <w:lang w:val="en-US" w:eastAsia="ru-RU"/>
              </w:rPr>
            </w:pPr>
            <w:r w:rsidRPr="00AA0377">
              <w:rPr>
                <w:rFonts w:ascii="Times New Roman" w:eastAsia="Times New Roman" w:hAnsi="Times New Roman" w:cs="Times New Roman"/>
                <w:b/>
                <w:bCs/>
                <w:sz w:val="24"/>
                <w:szCs w:val="24"/>
                <w:lang w:val="en-US" w:eastAsia="ru-RU"/>
              </w:rPr>
              <w:t>6,357,892</w:t>
            </w:r>
          </w:p>
        </w:tc>
        <w:tc>
          <w:tcPr>
            <w:tcW w:w="1651" w:type="dxa"/>
            <w:tcBorders>
              <w:top w:val="nil"/>
              <w:left w:val="nil"/>
              <w:bottom w:val="single" w:sz="4" w:space="0" w:color="auto"/>
              <w:right w:val="single" w:sz="4" w:space="0" w:color="auto"/>
            </w:tcBorders>
            <w:shd w:val="clear" w:color="auto" w:fill="auto"/>
            <w:noWrap/>
            <w:vAlign w:val="bottom"/>
            <w:hideMark/>
          </w:tcPr>
          <w:p w:rsidR="00AA0377" w:rsidRPr="00AA0377" w:rsidRDefault="00AA0377" w:rsidP="00AA0377">
            <w:pPr>
              <w:spacing w:before="100" w:after="120" w:line="240" w:lineRule="auto"/>
              <w:ind w:left="34"/>
              <w:jc w:val="right"/>
              <w:rPr>
                <w:rFonts w:ascii="Times New Roman" w:eastAsia="Times New Roman" w:hAnsi="Times New Roman" w:cs="Times New Roman"/>
                <w:b/>
                <w:bCs/>
                <w:sz w:val="24"/>
                <w:szCs w:val="24"/>
                <w:lang w:val="en-US" w:eastAsia="ru-RU"/>
              </w:rPr>
            </w:pPr>
            <w:r w:rsidRPr="00AA0377">
              <w:rPr>
                <w:rFonts w:ascii="Times New Roman" w:eastAsia="Times New Roman" w:hAnsi="Times New Roman" w:cs="Times New Roman"/>
                <w:b/>
                <w:bCs/>
                <w:sz w:val="24"/>
                <w:szCs w:val="24"/>
                <w:lang w:val="en-US" w:eastAsia="ru-RU"/>
              </w:rPr>
              <w:t>3,517,690</w:t>
            </w:r>
          </w:p>
        </w:tc>
      </w:tr>
    </w:tbl>
    <w:p w:rsidR="00AA0377" w:rsidRPr="00AA0377" w:rsidRDefault="00AA0377" w:rsidP="00AA0377">
      <w:pPr>
        <w:jc w:val="both"/>
      </w:pPr>
      <w:r w:rsidRPr="00AA0377">
        <w:br w:type="page"/>
      </w:r>
    </w:p>
    <w:p w:rsidR="00AA0377" w:rsidRPr="00AA0377" w:rsidRDefault="00AA0377" w:rsidP="00AA0377">
      <w:pPr>
        <w:spacing w:before="100" w:after="120" w:line="240" w:lineRule="auto"/>
        <w:jc w:val="center"/>
        <w:rPr>
          <w:rFonts w:ascii="Times New Roman" w:eastAsia="Times New Roman" w:hAnsi="Times New Roman" w:cs="Times New Roman"/>
          <w:b/>
          <w:bCs/>
          <w:i/>
          <w:sz w:val="24"/>
          <w:szCs w:val="24"/>
          <w:lang w:val="en-US" w:eastAsia="ru-RU"/>
        </w:rPr>
      </w:pPr>
    </w:p>
    <w:p w:rsidR="00AA0377" w:rsidRPr="00AA0377" w:rsidRDefault="00AA0377" w:rsidP="00AA0377">
      <w:pPr>
        <w:spacing w:after="120" w:line="240" w:lineRule="auto"/>
        <w:ind w:firstLine="567"/>
        <w:jc w:val="both"/>
        <w:rPr>
          <w:rFonts w:ascii="Times New Roman" w:hAnsi="Times New Roman" w:cs="Times New Roman"/>
          <w:sz w:val="24"/>
          <w:szCs w:val="24"/>
          <w:lang w:val="en-US" w:eastAsia="ru-RU"/>
        </w:rPr>
      </w:pPr>
      <w:r w:rsidRPr="00AA0377">
        <w:rPr>
          <w:rFonts w:ascii="Times New Roman" w:eastAsia="Times New Roman" w:hAnsi="Times New Roman" w:cs="Times New Roman"/>
          <w:b/>
          <w:bCs/>
          <w:i/>
          <w:noProof/>
          <w:sz w:val="24"/>
          <w:szCs w:val="24"/>
          <w:lang w:eastAsia="ru-RU"/>
        </w:rPr>
        <mc:AlternateContent>
          <mc:Choice Requires="wps">
            <w:drawing>
              <wp:anchor distT="0" distB="0" distL="114300" distR="114300" simplePos="0" relativeHeight="251667456" behindDoc="0" locked="0" layoutInCell="1" allowOverlap="1" wp14:anchorId="79DD090B" wp14:editId="2FB0DD43">
                <wp:simplePos x="0" y="0"/>
                <wp:positionH relativeFrom="column">
                  <wp:posOffset>554800</wp:posOffset>
                </wp:positionH>
                <wp:positionV relativeFrom="paragraph">
                  <wp:posOffset>2977515</wp:posOffset>
                </wp:positionV>
                <wp:extent cx="534389" cy="225631"/>
                <wp:effectExtent l="0" t="0" r="0" b="3175"/>
                <wp:wrapNone/>
                <wp:docPr id="19" name="Поле 19"/>
                <wp:cNvGraphicFramePr/>
                <a:graphic xmlns:a="http://schemas.openxmlformats.org/drawingml/2006/main">
                  <a:graphicData uri="http://schemas.microsoft.com/office/word/2010/wordprocessingShape">
                    <wps:wsp>
                      <wps:cNvSpPr txBox="1"/>
                      <wps:spPr>
                        <a:xfrm>
                          <a:off x="0" y="0"/>
                          <a:ext cx="534389" cy="225631"/>
                        </a:xfrm>
                        <a:prstGeom prst="rect">
                          <a:avLst/>
                        </a:prstGeom>
                        <a:solidFill>
                          <a:sysClr val="window" lastClr="FFFFFF"/>
                        </a:solidFill>
                        <a:ln w="6350">
                          <a:noFill/>
                        </a:ln>
                        <a:effectLst/>
                      </wps:spPr>
                      <wps:txbx>
                        <w:txbxContent>
                          <w:p w:rsidR="00951249" w:rsidRPr="006A30D7" w:rsidRDefault="00951249" w:rsidP="00AA0377">
                            <w:pPr>
                              <w:jc w:val="right"/>
                              <w:rPr>
                                <w:sz w:val="16"/>
                                <w:szCs w:val="16"/>
                              </w:rPr>
                            </w:pPr>
                            <w:r w:rsidRPr="006A30D7">
                              <w:rPr>
                                <w:rFonts w:ascii="Times New Roman" w:hAnsi="Times New Roman" w:cs="Times New Roman"/>
                                <w:b/>
                                <w:sz w:val="16"/>
                                <w:szCs w:val="16"/>
                                <w:lang w:val="en-US"/>
                              </w:rPr>
                              <w:t>Equity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9" o:spid="_x0000_s1028" type="#_x0000_t202" style="position:absolute;left:0;text-align:left;margin-left:43.7pt;margin-top:234.45pt;width:42.1pt;height: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" fillcolor="window" stroked="f" strokeweight=".5pt">
                <v:textbox>
                  <w:txbxContent>
                    <w:p w:rsidR="00951249" w:rsidRPr="006A30D7" w:rsidRDefault="00951249" w:rsidP="00AA0377">
                      <w:pPr>
                        <w:jc w:val="right"/>
                        <w:rPr>
                          <w:sz w:val="16"/>
                          <w:szCs w:val="16"/>
                        </w:rPr>
                      </w:pPr>
                      <w:r w:rsidRPr="006A30D7">
                        <w:rPr>
                          <w:rFonts w:ascii="Times New Roman" w:hAnsi="Times New Roman" w:cs="Times New Roman"/>
                          <w:b/>
                          <w:sz w:val="16"/>
                          <w:szCs w:val="16"/>
                          <w:lang w:val="en-US"/>
                        </w:rPr>
                        <w:t>Equity</w:t>
                      </w:r>
                    </w:p>
                  </w:txbxContent>
                </v:textbox>
              </v:shape>
            </w:pict>
          </mc:Fallback>
        </mc:AlternateContent>
      </w:r>
      <w:r w:rsidRPr="00AA0377">
        <w:rPr>
          <w:rFonts w:ascii="Times New Roman" w:eastAsia="Times New Roman" w:hAnsi="Times New Roman" w:cs="Times New Roman"/>
          <w:b/>
          <w:bCs/>
          <w:i/>
          <w:noProof/>
          <w:sz w:val="24"/>
          <w:szCs w:val="24"/>
          <w:lang w:eastAsia="ru-RU"/>
        </w:rPr>
        <mc:AlternateContent>
          <mc:Choice Requires="wps">
            <w:drawing>
              <wp:anchor distT="0" distB="0" distL="114300" distR="114300" simplePos="0" relativeHeight="251666432" behindDoc="0" locked="0" layoutInCell="1" allowOverlap="1" wp14:anchorId="2F252D54" wp14:editId="4048CF20">
                <wp:simplePos x="0" y="0"/>
                <wp:positionH relativeFrom="column">
                  <wp:posOffset>1197420</wp:posOffset>
                </wp:positionH>
                <wp:positionV relativeFrom="paragraph">
                  <wp:posOffset>2812415</wp:posOffset>
                </wp:positionV>
                <wp:extent cx="534389" cy="225631"/>
                <wp:effectExtent l="0" t="0" r="0" b="3175"/>
                <wp:wrapNone/>
                <wp:docPr id="18" name="Поле 18"/>
                <wp:cNvGraphicFramePr/>
                <a:graphic xmlns:a="http://schemas.openxmlformats.org/drawingml/2006/main">
                  <a:graphicData uri="http://schemas.microsoft.com/office/word/2010/wordprocessingShape">
                    <wps:wsp>
                      <wps:cNvSpPr txBox="1"/>
                      <wps:spPr>
                        <a:xfrm>
                          <a:off x="0" y="0"/>
                          <a:ext cx="534389" cy="225631"/>
                        </a:xfrm>
                        <a:prstGeom prst="rect">
                          <a:avLst/>
                        </a:prstGeom>
                        <a:solidFill>
                          <a:sysClr val="window" lastClr="FFFFFF"/>
                        </a:solidFill>
                        <a:ln w="6350">
                          <a:noFill/>
                        </a:ln>
                        <a:effectLst/>
                      </wps:spPr>
                      <wps:txbx>
                        <w:txbxContent>
                          <w:p w:rsidR="00951249" w:rsidRPr="006A30D7" w:rsidRDefault="00951249" w:rsidP="00AA0377">
                            <w:pPr>
                              <w:jc w:val="right"/>
                              <w:rPr>
                                <w:sz w:val="16"/>
                                <w:szCs w:val="16"/>
                              </w:rPr>
                            </w:pPr>
                            <w:r w:rsidRPr="006A30D7">
                              <w:rPr>
                                <w:rFonts w:ascii="Times New Roman" w:hAnsi="Times New Roman" w:cs="Times New Roman"/>
                                <w:b/>
                                <w:sz w:val="16"/>
                                <w:szCs w:val="16"/>
                                <w:lang w:val="en-US"/>
                              </w:rPr>
                              <w:t>Equity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29" type="#_x0000_t202" style="position:absolute;left:0;text-align:left;margin-left:94.3pt;margin-top:221.45pt;width:42.1pt;height: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" fillcolor="window" stroked="f" strokeweight=".5pt">
                <v:textbox>
                  <w:txbxContent>
                    <w:p w:rsidR="00951249" w:rsidRPr="006A30D7" w:rsidRDefault="00951249" w:rsidP="00AA0377">
                      <w:pPr>
                        <w:jc w:val="right"/>
                        <w:rPr>
                          <w:sz w:val="16"/>
                          <w:szCs w:val="16"/>
                        </w:rPr>
                      </w:pPr>
                      <w:r w:rsidRPr="006A30D7">
                        <w:rPr>
                          <w:rFonts w:ascii="Times New Roman" w:hAnsi="Times New Roman" w:cs="Times New Roman"/>
                          <w:b/>
                          <w:sz w:val="16"/>
                          <w:szCs w:val="16"/>
                          <w:lang w:val="en-US"/>
                        </w:rPr>
                        <w:t>Equity</w:t>
                      </w:r>
                    </w:p>
                  </w:txbxContent>
                </v:textbox>
              </v:shape>
            </w:pict>
          </mc:Fallback>
        </mc:AlternateContent>
      </w:r>
      <w:r w:rsidRPr="00AA0377">
        <w:rPr>
          <w:rFonts w:ascii="Times New Roman" w:eastAsia="Times New Roman" w:hAnsi="Times New Roman" w:cs="Times New Roman"/>
          <w:b/>
          <w:bCs/>
          <w:i/>
          <w:noProof/>
          <w:sz w:val="24"/>
          <w:szCs w:val="24"/>
          <w:lang w:eastAsia="ru-RU"/>
        </w:rPr>
        <mc:AlternateContent>
          <mc:Choice Requires="wps">
            <w:drawing>
              <wp:anchor distT="0" distB="0" distL="114300" distR="114300" simplePos="0" relativeHeight="251665408" behindDoc="0" locked="0" layoutInCell="1" allowOverlap="1" wp14:anchorId="443ECFC6" wp14:editId="38B5ADE8">
                <wp:simplePos x="0" y="0"/>
                <wp:positionH relativeFrom="column">
                  <wp:posOffset>1779905</wp:posOffset>
                </wp:positionH>
                <wp:positionV relativeFrom="paragraph">
                  <wp:posOffset>2626170</wp:posOffset>
                </wp:positionV>
                <wp:extent cx="534389" cy="225631"/>
                <wp:effectExtent l="0" t="0" r="0" b="3175"/>
                <wp:wrapNone/>
                <wp:docPr id="16" name="Поле 16"/>
                <wp:cNvGraphicFramePr/>
                <a:graphic xmlns:a="http://schemas.openxmlformats.org/drawingml/2006/main">
                  <a:graphicData uri="http://schemas.microsoft.com/office/word/2010/wordprocessingShape">
                    <wps:wsp>
                      <wps:cNvSpPr txBox="1"/>
                      <wps:spPr>
                        <a:xfrm>
                          <a:off x="0" y="0"/>
                          <a:ext cx="534389" cy="225631"/>
                        </a:xfrm>
                        <a:prstGeom prst="rect">
                          <a:avLst/>
                        </a:prstGeom>
                        <a:solidFill>
                          <a:sysClr val="window" lastClr="FFFFFF"/>
                        </a:solidFill>
                        <a:ln w="6350">
                          <a:noFill/>
                        </a:ln>
                        <a:effectLst/>
                      </wps:spPr>
                      <wps:txbx>
                        <w:txbxContent>
                          <w:p w:rsidR="00951249" w:rsidRPr="006A30D7" w:rsidRDefault="00951249" w:rsidP="00AA0377">
                            <w:pPr>
                              <w:jc w:val="right"/>
                              <w:rPr>
                                <w:sz w:val="16"/>
                                <w:szCs w:val="16"/>
                              </w:rPr>
                            </w:pPr>
                            <w:r w:rsidRPr="006A30D7">
                              <w:rPr>
                                <w:rFonts w:ascii="Times New Roman" w:hAnsi="Times New Roman" w:cs="Times New Roman"/>
                                <w:b/>
                                <w:sz w:val="16"/>
                                <w:szCs w:val="16"/>
                                <w:lang w:val="en-US"/>
                              </w:rPr>
                              <w:t>Equity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30" type="#_x0000_t202" style="position:absolute;left:0;text-align:left;margin-left:140.15pt;margin-top:206.8pt;width:42.1pt;height: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" fillcolor="window" stroked="f" strokeweight=".5pt">
                <v:textbox>
                  <w:txbxContent>
                    <w:p w:rsidR="00951249" w:rsidRPr="006A30D7" w:rsidRDefault="00951249" w:rsidP="00AA0377">
                      <w:pPr>
                        <w:jc w:val="right"/>
                        <w:rPr>
                          <w:sz w:val="16"/>
                          <w:szCs w:val="16"/>
                        </w:rPr>
                      </w:pPr>
                      <w:r w:rsidRPr="006A30D7">
                        <w:rPr>
                          <w:rFonts w:ascii="Times New Roman" w:hAnsi="Times New Roman" w:cs="Times New Roman"/>
                          <w:b/>
                          <w:sz w:val="16"/>
                          <w:szCs w:val="16"/>
                          <w:lang w:val="en-US"/>
                        </w:rPr>
                        <w:t>Equity</w:t>
                      </w:r>
                    </w:p>
                  </w:txbxContent>
                </v:textbox>
              </v:shape>
            </w:pict>
          </mc:Fallback>
        </mc:AlternateContent>
      </w:r>
      <w:r w:rsidRPr="00AA0377">
        <w:rPr>
          <w:rFonts w:ascii="Times New Roman" w:eastAsia="Times New Roman" w:hAnsi="Times New Roman" w:cs="Times New Roman"/>
          <w:b/>
          <w:bCs/>
          <w:i/>
          <w:noProof/>
          <w:sz w:val="24"/>
          <w:szCs w:val="24"/>
          <w:lang w:eastAsia="ru-RU"/>
        </w:rPr>
        <mc:AlternateContent>
          <mc:Choice Requires="wps">
            <w:drawing>
              <wp:anchor distT="0" distB="0" distL="114300" distR="114300" simplePos="0" relativeHeight="251664384" behindDoc="0" locked="0" layoutInCell="1" allowOverlap="1" wp14:anchorId="2CDD61FE" wp14:editId="44051667">
                <wp:simplePos x="0" y="0"/>
                <wp:positionH relativeFrom="column">
                  <wp:posOffset>2259140</wp:posOffset>
                </wp:positionH>
                <wp:positionV relativeFrom="paragraph">
                  <wp:posOffset>2224405</wp:posOffset>
                </wp:positionV>
                <wp:extent cx="534389" cy="225631"/>
                <wp:effectExtent l="0" t="0" r="0" b="3175"/>
                <wp:wrapNone/>
                <wp:docPr id="15" name="Поле 15"/>
                <wp:cNvGraphicFramePr/>
                <a:graphic xmlns:a="http://schemas.openxmlformats.org/drawingml/2006/main">
                  <a:graphicData uri="http://schemas.microsoft.com/office/word/2010/wordprocessingShape">
                    <wps:wsp>
                      <wps:cNvSpPr txBox="1"/>
                      <wps:spPr>
                        <a:xfrm>
                          <a:off x="0" y="0"/>
                          <a:ext cx="534389" cy="225631"/>
                        </a:xfrm>
                        <a:prstGeom prst="rect">
                          <a:avLst/>
                        </a:prstGeom>
                        <a:solidFill>
                          <a:sysClr val="window" lastClr="FFFFFF"/>
                        </a:solidFill>
                        <a:ln w="6350">
                          <a:noFill/>
                        </a:ln>
                        <a:effectLst/>
                      </wps:spPr>
                      <wps:txbx>
                        <w:txbxContent>
                          <w:p w:rsidR="00951249" w:rsidRPr="006A30D7" w:rsidRDefault="00951249" w:rsidP="00AA0377">
                            <w:pPr>
                              <w:jc w:val="right"/>
                              <w:rPr>
                                <w:sz w:val="16"/>
                                <w:szCs w:val="16"/>
                              </w:rPr>
                            </w:pPr>
                            <w:r w:rsidRPr="006A30D7">
                              <w:rPr>
                                <w:rFonts w:ascii="Times New Roman" w:hAnsi="Times New Roman" w:cs="Times New Roman"/>
                                <w:b/>
                                <w:sz w:val="16"/>
                                <w:szCs w:val="16"/>
                                <w:lang w:val="en-US"/>
                              </w:rPr>
                              <w:t>Equity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5" o:spid="_x0000_s1031" type="#_x0000_t202" style="position:absolute;left:0;text-align:left;margin-left:177.9pt;margin-top:175.15pt;width:42.1pt;height:1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" fillcolor="window" stroked="f" strokeweight=".5pt">
                <v:textbox>
                  <w:txbxContent>
                    <w:p w:rsidR="00951249" w:rsidRPr="006A30D7" w:rsidRDefault="00951249" w:rsidP="00AA0377">
                      <w:pPr>
                        <w:jc w:val="right"/>
                        <w:rPr>
                          <w:sz w:val="16"/>
                          <w:szCs w:val="16"/>
                        </w:rPr>
                      </w:pPr>
                      <w:r w:rsidRPr="006A30D7">
                        <w:rPr>
                          <w:rFonts w:ascii="Times New Roman" w:hAnsi="Times New Roman" w:cs="Times New Roman"/>
                          <w:b/>
                          <w:sz w:val="16"/>
                          <w:szCs w:val="16"/>
                          <w:lang w:val="en-US"/>
                        </w:rPr>
                        <w:t>Equity</w:t>
                      </w:r>
                    </w:p>
                  </w:txbxContent>
                </v:textbox>
              </v:shape>
            </w:pict>
          </mc:Fallback>
        </mc:AlternateContent>
      </w:r>
      <w:r w:rsidRPr="00AA0377">
        <w:rPr>
          <w:rFonts w:ascii="Times New Roman" w:eastAsia="Times New Roman" w:hAnsi="Times New Roman" w:cs="Times New Roman"/>
          <w:b/>
          <w:bCs/>
          <w:i/>
          <w:noProof/>
          <w:sz w:val="24"/>
          <w:szCs w:val="24"/>
          <w:lang w:eastAsia="ru-RU"/>
        </w:rPr>
        <mc:AlternateContent>
          <mc:Choice Requires="wps">
            <w:drawing>
              <wp:anchor distT="0" distB="0" distL="114300" distR="114300" simplePos="0" relativeHeight="251663360" behindDoc="0" locked="0" layoutInCell="1" allowOverlap="1" wp14:anchorId="1239520D" wp14:editId="3C0D6E07">
                <wp:simplePos x="0" y="0"/>
                <wp:positionH relativeFrom="column">
                  <wp:posOffset>2860230</wp:posOffset>
                </wp:positionH>
                <wp:positionV relativeFrom="paragraph">
                  <wp:posOffset>2120900</wp:posOffset>
                </wp:positionV>
                <wp:extent cx="534389" cy="225631"/>
                <wp:effectExtent l="0" t="0" r="0" b="3175"/>
                <wp:wrapNone/>
                <wp:docPr id="14" name="Поле 14"/>
                <wp:cNvGraphicFramePr/>
                <a:graphic xmlns:a="http://schemas.openxmlformats.org/drawingml/2006/main">
                  <a:graphicData uri="http://schemas.microsoft.com/office/word/2010/wordprocessingShape">
                    <wps:wsp>
                      <wps:cNvSpPr txBox="1"/>
                      <wps:spPr>
                        <a:xfrm>
                          <a:off x="0" y="0"/>
                          <a:ext cx="534389" cy="225631"/>
                        </a:xfrm>
                        <a:prstGeom prst="rect">
                          <a:avLst/>
                        </a:prstGeom>
                        <a:solidFill>
                          <a:sysClr val="window" lastClr="FFFFFF"/>
                        </a:solidFill>
                        <a:ln w="6350">
                          <a:noFill/>
                        </a:ln>
                        <a:effectLst/>
                      </wps:spPr>
                      <wps:txbx>
                        <w:txbxContent>
                          <w:p w:rsidR="00951249" w:rsidRPr="006A30D7" w:rsidRDefault="00951249" w:rsidP="00AA0377">
                            <w:pPr>
                              <w:jc w:val="right"/>
                              <w:rPr>
                                <w:sz w:val="16"/>
                                <w:szCs w:val="16"/>
                              </w:rPr>
                            </w:pPr>
                            <w:r w:rsidRPr="006A30D7">
                              <w:rPr>
                                <w:rFonts w:ascii="Times New Roman" w:hAnsi="Times New Roman" w:cs="Times New Roman"/>
                                <w:b/>
                                <w:sz w:val="16"/>
                                <w:szCs w:val="16"/>
                                <w:lang w:val="en-US"/>
                              </w:rPr>
                              <w:t>Equity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2" type="#_x0000_t202" style="position:absolute;left:0;text-align:left;margin-left:225.2pt;margin-top:167pt;width:42.1pt;height: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" fillcolor="window" stroked="f" strokeweight=".5pt">
                <v:textbox>
                  <w:txbxContent>
                    <w:p w:rsidR="00951249" w:rsidRPr="006A30D7" w:rsidRDefault="00951249" w:rsidP="00AA0377">
                      <w:pPr>
                        <w:jc w:val="right"/>
                        <w:rPr>
                          <w:sz w:val="16"/>
                          <w:szCs w:val="16"/>
                        </w:rPr>
                      </w:pPr>
                      <w:r w:rsidRPr="006A30D7">
                        <w:rPr>
                          <w:rFonts w:ascii="Times New Roman" w:hAnsi="Times New Roman" w:cs="Times New Roman"/>
                          <w:b/>
                          <w:sz w:val="16"/>
                          <w:szCs w:val="16"/>
                          <w:lang w:val="en-US"/>
                        </w:rPr>
                        <w:t>Equity</w:t>
                      </w:r>
                    </w:p>
                  </w:txbxContent>
                </v:textbox>
              </v:shape>
            </w:pict>
          </mc:Fallback>
        </mc:AlternateContent>
      </w:r>
      <w:r w:rsidRPr="00AA0377">
        <w:rPr>
          <w:rFonts w:ascii="Times New Roman" w:eastAsia="Times New Roman" w:hAnsi="Times New Roman" w:cs="Times New Roman"/>
          <w:b/>
          <w:bCs/>
          <w:i/>
          <w:noProof/>
          <w:sz w:val="24"/>
          <w:szCs w:val="24"/>
          <w:lang w:eastAsia="ru-RU"/>
        </w:rPr>
        <mc:AlternateContent>
          <mc:Choice Requires="wps">
            <w:drawing>
              <wp:anchor distT="0" distB="0" distL="114300" distR="114300" simplePos="0" relativeHeight="251662336" behindDoc="0" locked="0" layoutInCell="1" allowOverlap="1" wp14:anchorId="6A42C9F3" wp14:editId="1F4A4D17">
                <wp:simplePos x="0" y="0"/>
                <wp:positionH relativeFrom="column">
                  <wp:posOffset>3394900</wp:posOffset>
                </wp:positionH>
                <wp:positionV relativeFrom="paragraph">
                  <wp:posOffset>1812290</wp:posOffset>
                </wp:positionV>
                <wp:extent cx="534389" cy="225631"/>
                <wp:effectExtent l="0" t="0" r="0" b="3175"/>
                <wp:wrapNone/>
                <wp:docPr id="13" name="Поле 13"/>
                <wp:cNvGraphicFramePr/>
                <a:graphic xmlns:a="http://schemas.openxmlformats.org/drawingml/2006/main">
                  <a:graphicData uri="http://schemas.microsoft.com/office/word/2010/wordprocessingShape">
                    <wps:wsp>
                      <wps:cNvSpPr txBox="1"/>
                      <wps:spPr>
                        <a:xfrm>
                          <a:off x="0" y="0"/>
                          <a:ext cx="534389" cy="225631"/>
                        </a:xfrm>
                        <a:prstGeom prst="rect">
                          <a:avLst/>
                        </a:prstGeom>
                        <a:solidFill>
                          <a:sysClr val="window" lastClr="FFFFFF"/>
                        </a:solidFill>
                        <a:ln w="6350">
                          <a:noFill/>
                        </a:ln>
                        <a:effectLst/>
                      </wps:spPr>
                      <wps:txbx>
                        <w:txbxContent>
                          <w:p w:rsidR="00951249" w:rsidRPr="006A30D7" w:rsidRDefault="00951249" w:rsidP="00AA0377">
                            <w:pPr>
                              <w:jc w:val="right"/>
                              <w:rPr>
                                <w:sz w:val="16"/>
                                <w:szCs w:val="16"/>
                              </w:rPr>
                            </w:pPr>
                            <w:r w:rsidRPr="006A30D7">
                              <w:rPr>
                                <w:rFonts w:ascii="Times New Roman" w:hAnsi="Times New Roman" w:cs="Times New Roman"/>
                                <w:b/>
                                <w:sz w:val="16"/>
                                <w:szCs w:val="16"/>
                                <w:lang w:val="en-US"/>
                              </w:rPr>
                              <w:t>Equity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33" type="#_x0000_t202" style="position:absolute;left:0;text-align:left;margin-left:267.3pt;margin-top:142.7pt;width:42.1pt;height: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" fillcolor="window" stroked="f" strokeweight=".5pt">
                <v:textbox>
                  <w:txbxContent>
                    <w:p w:rsidR="00951249" w:rsidRPr="006A30D7" w:rsidRDefault="00951249" w:rsidP="00AA0377">
                      <w:pPr>
                        <w:jc w:val="right"/>
                        <w:rPr>
                          <w:sz w:val="16"/>
                          <w:szCs w:val="16"/>
                        </w:rPr>
                      </w:pPr>
                      <w:r w:rsidRPr="006A30D7">
                        <w:rPr>
                          <w:rFonts w:ascii="Times New Roman" w:hAnsi="Times New Roman" w:cs="Times New Roman"/>
                          <w:b/>
                          <w:sz w:val="16"/>
                          <w:szCs w:val="16"/>
                          <w:lang w:val="en-US"/>
                        </w:rPr>
                        <w:t>Equity</w:t>
                      </w:r>
                    </w:p>
                  </w:txbxContent>
                </v:textbox>
              </v:shape>
            </w:pict>
          </mc:Fallback>
        </mc:AlternateContent>
      </w:r>
      <w:r w:rsidRPr="00AA0377">
        <w:rPr>
          <w:rFonts w:ascii="Times New Roman" w:eastAsia="Times New Roman" w:hAnsi="Times New Roman" w:cs="Times New Roman"/>
          <w:b/>
          <w:bCs/>
          <w:i/>
          <w:noProof/>
          <w:sz w:val="24"/>
          <w:szCs w:val="24"/>
          <w:lang w:eastAsia="ru-RU"/>
        </w:rPr>
        <mc:AlternateContent>
          <mc:Choice Requires="wps">
            <w:drawing>
              <wp:anchor distT="0" distB="0" distL="114300" distR="114300" simplePos="0" relativeHeight="251661312" behindDoc="0" locked="0" layoutInCell="1" allowOverlap="1" wp14:anchorId="007C2EB8" wp14:editId="371907A2">
                <wp:simplePos x="0" y="0"/>
                <wp:positionH relativeFrom="column">
                  <wp:posOffset>4156710</wp:posOffset>
                </wp:positionH>
                <wp:positionV relativeFrom="paragraph">
                  <wp:posOffset>618300</wp:posOffset>
                </wp:positionV>
                <wp:extent cx="534389" cy="225631"/>
                <wp:effectExtent l="0" t="0" r="0" b="3175"/>
                <wp:wrapNone/>
                <wp:docPr id="12" name="Поле 12"/>
                <wp:cNvGraphicFramePr/>
                <a:graphic xmlns:a="http://schemas.openxmlformats.org/drawingml/2006/main">
                  <a:graphicData uri="http://schemas.microsoft.com/office/word/2010/wordprocessingShape">
                    <wps:wsp>
                      <wps:cNvSpPr txBox="1"/>
                      <wps:spPr>
                        <a:xfrm>
                          <a:off x="0" y="0"/>
                          <a:ext cx="534389" cy="225631"/>
                        </a:xfrm>
                        <a:prstGeom prst="rect">
                          <a:avLst/>
                        </a:prstGeom>
                        <a:solidFill>
                          <a:sysClr val="window" lastClr="FFFFFF"/>
                        </a:solidFill>
                        <a:ln w="6350">
                          <a:noFill/>
                        </a:ln>
                        <a:effectLst/>
                      </wps:spPr>
                      <wps:txbx>
                        <w:txbxContent>
                          <w:p w:rsidR="00951249" w:rsidRPr="006A30D7" w:rsidRDefault="00951249" w:rsidP="00AA0377">
                            <w:pPr>
                              <w:jc w:val="right"/>
                              <w:rPr>
                                <w:sz w:val="16"/>
                                <w:szCs w:val="16"/>
                              </w:rPr>
                            </w:pPr>
                            <w:r w:rsidRPr="006A30D7">
                              <w:rPr>
                                <w:rFonts w:ascii="Times New Roman" w:hAnsi="Times New Roman" w:cs="Times New Roman"/>
                                <w:b/>
                                <w:sz w:val="16"/>
                                <w:szCs w:val="16"/>
                                <w:lang w:val="en-US"/>
                              </w:rPr>
                              <w:t>Equity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34" type="#_x0000_t202" style="position:absolute;left:0;text-align:left;margin-left:327.3pt;margin-top:48.7pt;width:42.1pt;height: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" fillcolor="window" stroked="f" strokeweight=".5pt">
                <v:textbox>
                  <w:txbxContent>
                    <w:p w:rsidR="00951249" w:rsidRPr="006A30D7" w:rsidRDefault="00951249" w:rsidP="00AA0377">
                      <w:pPr>
                        <w:jc w:val="right"/>
                        <w:rPr>
                          <w:sz w:val="16"/>
                          <w:szCs w:val="16"/>
                        </w:rPr>
                      </w:pPr>
                      <w:r w:rsidRPr="006A30D7">
                        <w:rPr>
                          <w:rFonts w:ascii="Times New Roman" w:hAnsi="Times New Roman" w:cs="Times New Roman"/>
                          <w:b/>
                          <w:sz w:val="16"/>
                          <w:szCs w:val="16"/>
                          <w:lang w:val="en-US"/>
                        </w:rPr>
                        <w:t>Equity</w:t>
                      </w:r>
                    </w:p>
                  </w:txbxContent>
                </v:textbox>
              </v:shape>
            </w:pict>
          </mc:Fallback>
        </mc:AlternateContent>
      </w:r>
      <w:r w:rsidRPr="00AA0377">
        <w:rPr>
          <w:rFonts w:ascii="Times New Roman" w:eastAsia="Times New Roman" w:hAnsi="Times New Roman" w:cs="Times New Roman"/>
          <w:b/>
          <w:bCs/>
          <w:i/>
          <w:noProof/>
          <w:sz w:val="24"/>
          <w:szCs w:val="24"/>
          <w:lang w:eastAsia="ru-RU"/>
        </w:rPr>
        <mc:AlternateContent>
          <mc:Choice Requires="wps">
            <w:drawing>
              <wp:anchor distT="0" distB="0" distL="114300" distR="114300" simplePos="0" relativeHeight="251660288" behindDoc="0" locked="0" layoutInCell="1" allowOverlap="1" wp14:anchorId="5646B3EF" wp14:editId="7171B435">
                <wp:simplePos x="0" y="0"/>
                <wp:positionH relativeFrom="column">
                  <wp:posOffset>1180465</wp:posOffset>
                </wp:positionH>
                <wp:positionV relativeFrom="paragraph">
                  <wp:posOffset>469455</wp:posOffset>
                </wp:positionV>
                <wp:extent cx="3585845" cy="248920"/>
                <wp:effectExtent l="0" t="0" r="0" b="0"/>
                <wp:wrapNone/>
                <wp:docPr id="10" name="Поле 10"/>
                <wp:cNvGraphicFramePr/>
                <a:graphic xmlns:a="http://schemas.openxmlformats.org/drawingml/2006/main">
                  <a:graphicData uri="http://schemas.microsoft.com/office/word/2010/wordprocessingShape">
                    <wps:wsp>
                      <wps:cNvSpPr txBox="1"/>
                      <wps:spPr>
                        <a:xfrm>
                          <a:off x="0" y="0"/>
                          <a:ext cx="3585845" cy="248920"/>
                        </a:xfrm>
                        <a:prstGeom prst="rect">
                          <a:avLst/>
                        </a:prstGeom>
                        <a:solidFill>
                          <a:sysClr val="window" lastClr="FFFFFF"/>
                        </a:solidFill>
                        <a:ln w="6350">
                          <a:noFill/>
                        </a:ln>
                        <a:effectLst/>
                      </wps:spPr>
                      <wps:txbx>
                        <w:txbxContent>
                          <w:p w:rsidR="00951249" w:rsidRPr="006A30D7" w:rsidRDefault="00951249" w:rsidP="00AA0377">
                            <w:pPr>
                              <w:jc w:val="center"/>
                              <w:rPr>
                                <w:sz w:val="16"/>
                                <w:szCs w:val="16"/>
                              </w:rPr>
                            </w:pPr>
                            <w:r w:rsidRPr="006A30D7">
                              <w:rPr>
                                <w:rFonts w:ascii="Times New Roman" w:hAnsi="Times New Roman" w:cs="Times New Roman"/>
                                <w:b/>
                                <w:sz w:val="16"/>
                                <w:szCs w:val="16"/>
                                <w:lang w:val="en-US"/>
                              </w:rPr>
                              <w:t>Equity dynamics (RUB’000)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35" type="#_x0000_t202" style="position:absolute;left:0;text-align:left;margin-left:92.95pt;margin-top:36.95pt;width:282.35pt;height: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" fillcolor="window" stroked="f" strokeweight=".5pt">
                <v:textbox>
                  <w:txbxContent>
                    <w:p w:rsidR="00951249" w:rsidRPr="006A30D7" w:rsidRDefault="00951249" w:rsidP="00AA0377">
                      <w:pPr>
                        <w:jc w:val="center"/>
                        <w:rPr>
                          <w:sz w:val="16"/>
                          <w:szCs w:val="16"/>
                        </w:rPr>
                      </w:pPr>
                      <w:r w:rsidRPr="006A30D7">
                        <w:rPr>
                          <w:rFonts w:ascii="Times New Roman" w:hAnsi="Times New Roman" w:cs="Times New Roman"/>
                          <w:b/>
                          <w:sz w:val="16"/>
                          <w:szCs w:val="16"/>
                          <w:lang w:val="en-US"/>
                        </w:rPr>
                        <w:t>Equity dynamics (RUB’000)</w:t>
                      </w:r>
                    </w:p>
                  </w:txbxContent>
                </v:textbox>
              </v:shape>
            </w:pict>
          </mc:Fallback>
        </mc:AlternateContent>
      </w:r>
      <w:r w:rsidRPr="00AA0377">
        <w:rPr>
          <w:rFonts w:ascii="Times New Roman" w:eastAsia="Times New Roman" w:hAnsi="Times New Roman" w:cs="Times New Roman"/>
          <w:b/>
          <w:bCs/>
          <w:i/>
          <w:noProof/>
          <w:sz w:val="24"/>
          <w:szCs w:val="24"/>
          <w:lang w:eastAsia="ru-RU"/>
        </w:rPr>
        <mc:AlternateContent>
          <mc:Choice Requires="wps">
            <w:drawing>
              <wp:anchor distT="0" distB="0" distL="114300" distR="114300" simplePos="0" relativeHeight="251659264" behindDoc="0" locked="0" layoutInCell="1" allowOverlap="1" wp14:anchorId="321B5409" wp14:editId="5D739DA2">
                <wp:simplePos x="0" y="0"/>
                <wp:positionH relativeFrom="column">
                  <wp:posOffset>1299845</wp:posOffset>
                </wp:positionH>
                <wp:positionV relativeFrom="paragraph">
                  <wp:posOffset>66675</wp:posOffset>
                </wp:positionV>
                <wp:extent cx="3585845" cy="248920"/>
                <wp:effectExtent l="0" t="0" r="0" b="0"/>
                <wp:wrapNone/>
                <wp:docPr id="9" name="Поле 9"/>
                <wp:cNvGraphicFramePr/>
                <a:graphic xmlns:a="http://schemas.openxmlformats.org/drawingml/2006/main">
                  <a:graphicData uri="http://schemas.microsoft.com/office/word/2010/wordprocessingShape">
                    <wps:wsp>
                      <wps:cNvSpPr txBox="1"/>
                      <wps:spPr>
                        <a:xfrm>
                          <a:off x="0" y="0"/>
                          <a:ext cx="3585845" cy="248920"/>
                        </a:xfrm>
                        <a:prstGeom prst="rect">
                          <a:avLst/>
                        </a:prstGeom>
                        <a:solidFill>
                          <a:sysClr val="window" lastClr="FFFFFF"/>
                        </a:solidFill>
                        <a:ln w="6350">
                          <a:noFill/>
                        </a:ln>
                        <a:effectLst/>
                      </wps:spPr>
                      <wps:txbx>
                        <w:txbxContent>
                          <w:p w:rsidR="00951249" w:rsidRDefault="00951249" w:rsidP="00AA0377">
                            <w:pPr>
                              <w:jc w:val="center"/>
                            </w:pPr>
                            <w:r w:rsidRPr="0010444D">
                              <w:rPr>
                                <w:rFonts w:ascii="Times New Roman" w:hAnsi="Times New Roman" w:cs="Times New Roman"/>
                                <w:b/>
                                <w:i/>
                                <w:sz w:val="24"/>
                                <w:szCs w:val="24"/>
                                <w:lang w:val="en-US"/>
                              </w:rPr>
                              <w:t xml:space="preserve">Equity </w:t>
                            </w:r>
                            <w:r>
                              <w:rPr>
                                <w:rFonts w:ascii="Times New Roman" w:hAnsi="Times New Roman" w:cs="Times New Roman"/>
                                <w:b/>
                                <w:i/>
                                <w:sz w:val="24"/>
                                <w:szCs w:val="24"/>
                                <w:lang w:val="en-US"/>
                              </w:rPr>
                              <w:t>growth</w:t>
                            </w:r>
                            <w:r w:rsidRPr="0010444D">
                              <w:rPr>
                                <w:rFonts w:ascii="Times New Roman" w:hAnsi="Times New Roman" w:cs="Times New Roman"/>
                                <w:b/>
                                <w:i/>
                                <w:sz w:val="24"/>
                                <w:szCs w:val="24"/>
                                <w:lang w:val="en-US"/>
                              </w:rPr>
                              <w:t xml:space="preserve"> dynamics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36" type="#_x0000_t202" style="position:absolute;left:0;text-align:left;margin-left:102.35pt;margin-top:5.25pt;width:282.35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" fillcolor="window" stroked="f" strokeweight=".5pt">
                <v:textbox>
                  <w:txbxContent>
                    <w:p w:rsidR="00951249" w:rsidRDefault="00951249" w:rsidP="00AA0377">
                      <w:pPr>
                        <w:jc w:val="center"/>
                      </w:pPr>
                      <w:r w:rsidRPr="0010444D">
                        <w:rPr>
                          <w:rFonts w:ascii="Times New Roman" w:hAnsi="Times New Roman" w:cs="Times New Roman"/>
                          <w:b/>
                          <w:i/>
                          <w:sz w:val="24"/>
                          <w:szCs w:val="24"/>
                          <w:lang w:val="en-US"/>
                        </w:rPr>
                        <w:t xml:space="preserve">Equity </w:t>
                      </w:r>
                      <w:r>
                        <w:rPr>
                          <w:rFonts w:ascii="Times New Roman" w:hAnsi="Times New Roman" w:cs="Times New Roman"/>
                          <w:b/>
                          <w:i/>
                          <w:sz w:val="24"/>
                          <w:szCs w:val="24"/>
                          <w:lang w:val="en-US"/>
                        </w:rPr>
                        <w:t>growth</w:t>
                      </w:r>
                      <w:r w:rsidRPr="0010444D">
                        <w:rPr>
                          <w:rFonts w:ascii="Times New Roman" w:hAnsi="Times New Roman" w:cs="Times New Roman"/>
                          <w:b/>
                          <w:i/>
                          <w:sz w:val="24"/>
                          <w:szCs w:val="24"/>
                          <w:lang w:val="en-US"/>
                        </w:rPr>
                        <w:t xml:space="preserve"> dynamics</w:t>
                      </w:r>
                    </w:p>
                  </w:txbxContent>
                </v:textbox>
              </v:shape>
            </w:pict>
          </mc:Fallback>
        </mc:AlternateContent>
      </w:r>
      <w:r w:rsidRPr="00AA0377">
        <w:rPr>
          <w:rFonts w:ascii="Times New Roman" w:hAnsi="Times New Roman" w:cs="Times New Roman"/>
          <w:sz w:val="24"/>
          <w:szCs w:val="24"/>
          <w:lang w:val="en-US" w:eastAsia="ru-RU"/>
        </w:rPr>
        <w:object w:dxaOrig="13483" w:dyaOrig="6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5pt;height:293.35pt" o:ole="">
            <v:imagedata r:id="rId40" o:title=""/>
          </v:shape>
          <o:OLEObject Type="Embed" ProgID="PBrush" ShapeID="_x0000_i1025" DrawAspect="Content" ObjectID="_1469263409" r:id="rId41"/>
        </w:object>
      </w:r>
    </w:p>
    <w:p w:rsidR="00AA0377" w:rsidRPr="00AA0377" w:rsidRDefault="00AA0377" w:rsidP="00AA0377">
      <w:pPr>
        <w:spacing w:after="120" w:line="240" w:lineRule="auto"/>
        <w:ind w:firstLine="567"/>
        <w:jc w:val="both"/>
        <w:rPr>
          <w:rFonts w:ascii="Times New Roman" w:hAnsi="Times New Roman" w:cs="Times New Roman"/>
          <w:b/>
          <w:bCs/>
          <w:i/>
          <w:iCs/>
          <w:sz w:val="24"/>
          <w:szCs w:val="24"/>
          <w:lang w:val="en-US" w:eastAsia="ru-RU"/>
        </w:rPr>
      </w:pPr>
    </w:p>
    <w:p w:rsidR="00AA0377" w:rsidRPr="00AA0377" w:rsidRDefault="00AA0377" w:rsidP="00AA0377">
      <w:pPr>
        <w:spacing w:after="120" w:line="240" w:lineRule="auto"/>
        <w:jc w:val="center"/>
        <w:rPr>
          <w:rFonts w:ascii="Times New Roman" w:hAnsi="Times New Roman" w:cs="Times New Roman"/>
          <w:b/>
          <w:i/>
          <w:sz w:val="24"/>
          <w:szCs w:val="24"/>
          <w:lang w:val="en-US"/>
        </w:rPr>
      </w:pPr>
      <w:r w:rsidRPr="00AA0377">
        <w:rPr>
          <w:rFonts w:ascii="Times New Roman" w:eastAsia="Times New Roman" w:hAnsi="Times New Roman" w:cs="Times New Roman"/>
          <w:b/>
          <w:bCs/>
          <w:i/>
          <w:noProof/>
          <w:sz w:val="24"/>
          <w:szCs w:val="24"/>
          <w:lang w:eastAsia="ru-RU"/>
        </w:rPr>
        <mc:AlternateContent>
          <mc:Choice Requires="wps">
            <w:drawing>
              <wp:anchor distT="0" distB="0" distL="114300" distR="114300" simplePos="0" relativeHeight="251670528" behindDoc="0" locked="0" layoutInCell="1" allowOverlap="1" wp14:anchorId="37732AD1" wp14:editId="583E5B08">
                <wp:simplePos x="0" y="0"/>
                <wp:positionH relativeFrom="column">
                  <wp:posOffset>5035657</wp:posOffset>
                </wp:positionH>
                <wp:positionV relativeFrom="paragraph">
                  <wp:posOffset>2051363</wp:posOffset>
                </wp:positionV>
                <wp:extent cx="771715" cy="356260"/>
                <wp:effectExtent l="0" t="0" r="9525" b="5715"/>
                <wp:wrapNone/>
                <wp:docPr id="34" name="Поле 34"/>
                <wp:cNvGraphicFramePr/>
                <a:graphic xmlns:a="http://schemas.openxmlformats.org/drawingml/2006/main">
                  <a:graphicData uri="http://schemas.microsoft.com/office/word/2010/wordprocessingShape">
                    <wps:wsp>
                      <wps:cNvSpPr txBox="1"/>
                      <wps:spPr>
                        <a:xfrm>
                          <a:off x="0" y="0"/>
                          <a:ext cx="771715" cy="356260"/>
                        </a:xfrm>
                        <a:prstGeom prst="rect">
                          <a:avLst/>
                        </a:prstGeom>
                        <a:solidFill>
                          <a:sysClr val="window" lastClr="FFFFFF"/>
                        </a:solidFill>
                        <a:ln w="6350">
                          <a:noFill/>
                        </a:ln>
                        <a:effectLst/>
                      </wps:spPr>
                      <wps:txbx>
                        <w:txbxContent>
                          <w:p w:rsidR="00951249" w:rsidRPr="006A30D7" w:rsidRDefault="00951249" w:rsidP="00AA0377">
                            <w:pPr>
                              <w:jc w:val="both"/>
                              <w:rPr>
                                <w:b/>
                                <w:sz w:val="16"/>
                                <w:szCs w:val="16"/>
                              </w:rPr>
                            </w:pPr>
                            <w:r>
                              <w:rPr>
                                <w:rFonts w:ascii="Times New Roman" w:hAnsi="Times New Roman" w:cs="Times New Roman"/>
                                <w:b/>
                                <w:sz w:val="16"/>
                                <w:szCs w:val="16"/>
                                <w:lang w:val="en-US"/>
                              </w:rPr>
                              <w:t>Authorized capital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4" o:spid="_x0000_s1037" type="#_x0000_t202" style="position:absolute;left:0;text-align:left;margin-left:396.5pt;margin-top:161.5pt;width:60.75pt;height:2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" fillcolor="window" stroked="f" strokeweight=".5pt">
                <v:textbox>
                  <w:txbxContent>
                    <w:p w:rsidR="00951249" w:rsidRPr="006A30D7" w:rsidRDefault="00951249" w:rsidP="00AA0377">
                      <w:pPr>
                        <w:jc w:val="both"/>
                        <w:rPr>
                          <w:b/>
                          <w:sz w:val="16"/>
                          <w:szCs w:val="16"/>
                        </w:rPr>
                      </w:pPr>
                      <w:r>
                        <w:rPr>
                          <w:rFonts w:ascii="Times New Roman" w:hAnsi="Times New Roman" w:cs="Times New Roman"/>
                          <w:b/>
                          <w:sz w:val="16"/>
                          <w:szCs w:val="16"/>
                          <w:lang w:val="en-US"/>
                        </w:rPr>
                        <w:t>Authorized capital</w:t>
                      </w:r>
                    </w:p>
                  </w:txbxContent>
                </v:textbox>
              </v:shape>
            </w:pict>
          </mc:Fallback>
        </mc:AlternateContent>
      </w:r>
      <w:r w:rsidRPr="00AA0377">
        <w:rPr>
          <w:rFonts w:ascii="Times New Roman" w:eastAsia="Times New Roman" w:hAnsi="Times New Roman" w:cs="Times New Roman"/>
          <w:b/>
          <w:bCs/>
          <w:i/>
          <w:noProof/>
          <w:sz w:val="24"/>
          <w:szCs w:val="24"/>
          <w:lang w:eastAsia="ru-RU"/>
        </w:rPr>
        <mc:AlternateContent>
          <mc:Choice Requires="wps">
            <w:drawing>
              <wp:anchor distT="0" distB="0" distL="114300" distR="114300" simplePos="0" relativeHeight="251669504" behindDoc="0" locked="0" layoutInCell="1" allowOverlap="1" wp14:anchorId="6B372A34" wp14:editId="3E5B0719">
                <wp:simplePos x="0" y="0"/>
                <wp:positionH relativeFrom="column">
                  <wp:posOffset>5023781</wp:posOffset>
                </wp:positionH>
                <wp:positionV relativeFrom="paragraph">
                  <wp:posOffset>1588226</wp:posOffset>
                </wp:positionV>
                <wp:extent cx="783771" cy="356260"/>
                <wp:effectExtent l="0" t="0" r="0" b="5715"/>
                <wp:wrapNone/>
                <wp:docPr id="33" name="Поле 33"/>
                <wp:cNvGraphicFramePr/>
                <a:graphic xmlns:a="http://schemas.openxmlformats.org/drawingml/2006/main">
                  <a:graphicData uri="http://schemas.microsoft.com/office/word/2010/wordprocessingShape">
                    <wps:wsp>
                      <wps:cNvSpPr txBox="1"/>
                      <wps:spPr>
                        <a:xfrm>
                          <a:off x="0" y="0"/>
                          <a:ext cx="783771" cy="356260"/>
                        </a:xfrm>
                        <a:prstGeom prst="rect">
                          <a:avLst/>
                        </a:prstGeom>
                        <a:solidFill>
                          <a:sysClr val="window" lastClr="FFFFFF"/>
                        </a:solidFill>
                        <a:ln w="6350">
                          <a:noFill/>
                        </a:ln>
                        <a:effectLst/>
                      </wps:spPr>
                      <wps:txbx>
                        <w:txbxContent>
                          <w:p w:rsidR="00951249" w:rsidRPr="006A30D7" w:rsidRDefault="00951249" w:rsidP="00AA0377">
                            <w:pPr>
                              <w:jc w:val="both"/>
                              <w:rPr>
                                <w:b/>
                                <w:sz w:val="16"/>
                                <w:szCs w:val="16"/>
                              </w:rPr>
                            </w:pPr>
                            <w:r w:rsidRPr="006A30D7">
                              <w:rPr>
                                <w:rFonts w:ascii="Times New Roman" w:hAnsi="Times New Roman" w:cs="Times New Roman"/>
                                <w:b/>
                                <w:sz w:val="16"/>
                                <w:szCs w:val="16"/>
                                <w:lang w:val="en-US"/>
                              </w:rPr>
                              <w:t>Retained earnings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3" o:spid="_x0000_s1038" type="#_x0000_t202" style="position:absolute;left:0;text-align:left;margin-left:395.55pt;margin-top:125.05pt;width:61.7pt;height:2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" fillcolor="window" stroked="f" strokeweight=".5pt">
                <v:textbox>
                  <w:txbxContent>
                    <w:p w:rsidR="00951249" w:rsidRPr="006A30D7" w:rsidRDefault="00951249" w:rsidP="00AA0377">
                      <w:pPr>
                        <w:jc w:val="both"/>
                        <w:rPr>
                          <w:b/>
                          <w:sz w:val="16"/>
                          <w:szCs w:val="16"/>
                        </w:rPr>
                      </w:pPr>
                      <w:r w:rsidRPr="006A30D7">
                        <w:rPr>
                          <w:rFonts w:ascii="Times New Roman" w:hAnsi="Times New Roman" w:cs="Times New Roman"/>
                          <w:b/>
                          <w:sz w:val="16"/>
                          <w:szCs w:val="16"/>
                          <w:lang w:val="en-US"/>
                        </w:rPr>
                        <w:t>Retained earnings</w:t>
                      </w:r>
                    </w:p>
                  </w:txbxContent>
                </v:textbox>
              </v:shape>
            </w:pict>
          </mc:Fallback>
        </mc:AlternateContent>
      </w:r>
      <w:r w:rsidRPr="00AA0377">
        <w:rPr>
          <w:rFonts w:ascii="Times New Roman" w:eastAsia="Times New Roman" w:hAnsi="Times New Roman" w:cs="Times New Roman"/>
          <w:b/>
          <w:bCs/>
          <w:i/>
          <w:noProof/>
          <w:sz w:val="24"/>
          <w:szCs w:val="24"/>
          <w:lang w:eastAsia="ru-RU"/>
        </w:rPr>
        <mc:AlternateContent>
          <mc:Choice Requires="wps">
            <w:drawing>
              <wp:anchor distT="0" distB="0" distL="114300" distR="114300" simplePos="0" relativeHeight="251668480" behindDoc="0" locked="0" layoutInCell="1" allowOverlap="1" wp14:anchorId="452C2DD0" wp14:editId="4AE65556">
                <wp:simplePos x="0" y="0"/>
                <wp:positionH relativeFrom="column">
                  <wp:posOffset>5031295</wp:posOffset>
                </wp:positionH>
                <wp:positionV relativeFrom="paragraph">
                  <wp:posOffset>1191260</wp:posOffset>
                </wp:positionV>
                <wp:extent cx="534389" cy="225631"/>
                <wp:effectExtent l="0" t="0" r="0" b="3175"/>
                <wp:wrapNone/>
                <wp:docPr id="20" name="Поле 20"/>
                <wp:cNvGraphicFramePr/>
                <a:graphic xmlns:a="http://schemas.openxmlformats.org/drawingml/2006/main">
                  <a:graphicData uri="http://schemas.microsoft.com/office/word/2010/wordprocessingShape">
                    <wps:wsp>
                      <wps:cNvSpPr txBox="1"/>
                      <wps:spPr>
                        <a:xfrm>
                          <a:off x="0" y="0"/>
                          <a:ext cx="534389" cy="225631"/>
                        </a:xfrm>
                        <a:prstGeom prst="rect">
                          <a:avLst/>
                        </a:prstGeom>
                        <a:solidFill>
                          <a:sysClr val="window" lastClr="FFFFFF"/>
                        </a:solidFill>
                        <a:ln w="6350">
                          <a:noFill/>
                        </a:ln>
                        <a:effectLst/>
                      </wps:spPr>
                      <wps:txbx>
                        <w:txbxContent>
                          <w:p w:rsidR="00951249" w:rsidRPr="006A30D7" w:rsidRDefault="00951249" w:rsidP="00AA0377">
                            <w:pPr>
                              <w:jc w:val="both"/>
                              <w:rPr>
                                <w:sz w:val="16"/>
                                <w:szCs w:val="16"/>
                              </w:rPr>
                            </w:pPr>
                            <w:r w:rsidRPr="006A30D7">
                              <w:rPr>
                                <w:rFonts w:ascii="Times New Roman" w:hAnsi="Times New Roman" w:cs="Times New Roman"/>
                                <w:b/>
                                <w:sz w:val="16"/>
                                <w:szCs w:val="16"/>
                                <w:lang w:val="en-US"/>
                              </w:rPr>
                              <w:t>Equity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0" o:spid="_x0000_s1039" type="#_x0000_t202" style="position:absolute;left:0;text-align:left;margin-left:396.15pt;margin-top:93.8pt;width:42.1pt;height:1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" fillcolor="window" stroked="f" strokeweight=".5pt">
                <v:textbox>
                  <w:txbxContent>
                    <w:p w:rsidR="00951249" w:rsidRPr="006A30D7" w:rsidRDefault="00951249" w:rsidP="00AA0377">
                      <w:pPr>
                        <w:jc w:val="both"/>
                        <w:rPr>
                          <w:sz w:val="16"/>
                          <w:szCs w:val="16"/>
                        </w:rPr>
                      </w:pPr>
                      <w:r w:rsidRPr="006A30D7">
                        <w:rPr>
                          <w:rFonts w:ascii="Times New Roman" w:hAnsi="Times New Roman" w:cs="Times New Roman"/>
                          <w:b/>
                          <w:sz w:val="16"/>
                          <w:szCs w:val="16"/>
                          <w:lang w:val="en-US"/>
                        </w:rPr>
                        <w:t>Equity</w:t>
                      </w:r>
                    </w:p>
                  </w:txbxContent>
                </v:textbox>
              </v:shape>
            </w:pict>
          </mc:Fallback>
        </mc:AlternateContent>
      </w:r>
      <w:r w:rsidRPr="00AA0377">
        <w:rPr>
          <w:rFonts w:ascii="Times New Roman" w:hAnsi="Times New Roman" w:cs="Times New Roman"/>
          <w:b/>
          <w:i/>
          <w:sz w:val="24"/>
          <w:szCs w:val="24"/>
          <w:lang w:val="en-US"/>
        </w:rPr>
        <w:t>Dynamics of equity and main financial highlights (RUB'000)</w:t>
      </w:r>
      <w:r w:rsidRPr="00AA0377">
        <w:rPr>
          <w:rFonts w:ascii="Times New Roman" w:hAnsi="Times New Roman" w:cs="Times New Roman"/>
          <w:noProof/>
          <w:sz w:val="24"/>
          <w:szCs w:val="24"/>
          <w:lang w:eastAsia="ru-RU"/>
        </w:rPr>
        <w:drawing>
          <wp:inline distT="0" distB="0" distL="0" distR="0" wp14:anchorId="016496BE" wp14:editId="0AF7A9FA">
            <wp:extent cx="5684520" cy="2880360"/>
            <wp:effectExtent l="0" t="0" r="11430" b="1524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bl>
      <w:tblPr>
        <w:tblW w:w="9639" w:type="dxa"/>
        <w:tblInd w:w="93" w:type="dxa"/>
        <w:tblLayout w:type="fixed"/>
        <w:tblLook w:val="04A0" w:firstRow="1" w:lastRow="0" w:firstColumn="1" w:lastColumn="0" w:noHBand="0" w:noVBand="1"/>
      </w:tblPr>
      <w:tblGrid>
        <w:gridCol w:w="1606"/>
        <w:gridCol w:w="1133"/>
        <w:gridCol w:w="1099"/>
        <w:gridCol w:w="1132"/>
        <w:gridCol w:w="1273"/>
        <w:gridCol w:w="1132"/>
        <w:gridCol w:w="1132"/>
        <w:gridCol w:w="1132"/>
      </w:tblGrid>
      <w:tr w:rsidR="00AA0377" w:rsidRPr="00AA0377" w:rsidTr="00C8135A">
        <w:trPr>
          <w:trHeight w:val="20"/>
        </w:trPr>
        <w:tc>
          <w:tcPr>
            <w:tcW w:w="1608" w:type="dxa"/>
            <w:tcBorders>
              <w:top w:val="nil"/>
              <w:left w:val="nil"/>
              <w:bottom w:val="nil"/>
              <w:right w:val="nil"/>
            </w:tcBorders>
            <w:shd w:val="clear" w:color="000000" w:fill="FFFFFF"/>
            <w:noWrap/>
            <w:vAlign w:val="bottom"/>
            <w:hideMark/>
          </w:tcPr>
          <w:p w:rsidR="00AA0377" w:rsidRPr="00AA0377" w:rsidRDefault="00AA0377" w:rsidP="00AA0377">
            <w:pPr>
              <w:spacing w:after="0" w:line="240" w:lineRule="auto"/>
              <w:jc w:val="both"/>
              <w:rPr>
                <w:rFonts w:ascii="Times New Roman" w:eastAsia="Times New Roman" w:hAnsi="Times New Roman" w:cs="Times New Roman"/>
                <w:sz w:val="20"/>
                <w:szCs w:val="20"/>
                <w:lang w:val="en-US" w:eastAsia="ru-RU"/>
              </w:rPr>
            </w:pPr>
            <w:r w:rsidRPr="00AA0377">
              <w:rPr>
                <w:rFonts w:ascii="Times New Roman" w:eastAsia="Times New Roman" w:hAnsi="Times New Roman" w:cs="Times New Roman"/>
                <w:sz w:val="20"/>
                <w:szCs w:val="20"/>
                <w:lang w:val="en-US" w:eastAsia="ru-RU"/>
              </w:rPr>
              <w:t> </w:t>
            </w:r>
          </w:p>
        </w:tc>
        <w:tc>
          <w:tcPr>
            <w:tcW w:w="113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AA0377" w:rsidRPr="00AA0377" w:rsidRDefault="00AA0377" w:rsidP="00AA0377">
            <w:pPr>
              <w:spacing w:after="0" w:line="240" w:lineRule="auto"/>
              <w:jc w:val="center"/>
              <w:rPr>
                <w:rFonts w:ascii="Times New Roman" w:eastAsia="Times New Roman" w:hAnsi="Times New Roman" w:cs="Times New Roman"/>
                <w:b/>
                <w:bCs/>
                <w:sz w:val="16"/>
                <w:szCs w:val="16"/>
                <w:lang w:eastAsia="ru-RU"/>
              </w:rPr>
            </w:pPr>
            <w:r w:rsidRPr="00AA0377">
              <w:rPr>
                <w:rFonts w:ascii="Times New Roman" w:eastAsia="Times New Roman" w:hAnsi="Times New Roman" w:cs="Times New Roman"/>
                <w:b/>
                <w:bCs/>
                <w:sz w:val="16"/>
                <w:szCs w:val="16"/>
                <w:lang w:eastAsia="ru-RU"/>
              </w:rPr>
              <w:t>2007</w:t>
            </w:r>
          </w:p>
        </w:tc>
        <w:tc>
          <w:tcPr>
            <w:tcW w:w="1101" w:type="dxa"/>
            <w:tcBorders>
              <w:top w:val="single" w:sz="8" w:space="0" w:color="auto"/>
              <w:left w:val="nil"/>
              <w:bottom w:val="single" w:sz="8" w:space="0" w:color="auto"/>
              <w:right w:val="single" w:sz="8" w:space="0" w:color="auto"/>
            </w:tcBorders>
            <w:shd w:val="clear" w:color="000000" w:fill="FFFFFF"/>
            <w:noWrap/>
            <w:vAlign w:val="center"/>
            <w:hideMark/>
          </w:tcPr>
          <w:p w:rsidR="00AA0377" w:rsidRPr="00AA0377" w:rsidRDefault="00AA0377" w:rsidP="00AA0377">
            <w:pPr>
              <w:spacing w:after="0" w:line="240" w:lineRule="auto"/>
              <w:jc w:val="center"/>
              <w:rPr>
                <w:rFonts w:ascii="Times New Roman" w:eastAsia="Times New Roman" w:hAnsi="Times New Roman" w:cs="Times New Roman"/>
                <w:b/>
                <w:bCs/>
                <w:sz w:val="16"/>
                <w:szCs w:val="16"/>
                <w:lang w:eastAsia="ru-RU"/>
              </w:rPr>
            </w:pPr>
            <w:r w:rsidRPr="00AA0377">
              <w:rPr>
                <w:rFonts w:ascii="Times New Roman" w:eastAsia="Times New Roman" w:hAnsi="Times New Roman" w:cs="Times New Roman"/>
                <w:b/>
                <w:bCs/>
                <w:sz w:val="16"/>
                <w:szCs w:val="16"/>
                <w:lang w:eastAsia="ru-RU"/>
              </w:rPr>
              <w:t>2008</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AA0377" w:rsidRPr="00AA0377" w:rsidRDefault="00AA0377" w:rsidP="00AA0377">
            <w:pPr>
              <w:spacing w:after="0" w:line="240" w:lineRule="auto"/>
              <w:jc w:val="center"/>
              <w:rPr>
                <w:rFonts w:ascii="Times New Roman" w:eastAsia="Times New Roman" w:hAnsi="Times New Roman" w:cs="Times New Roman"/>
                <w:b/>
                <w:bCs/>
                <w:sz w:val="16"/>
                <w:szCs w:val="16"/>
                <w:lang w:eastAsia="ru-RU"/>
              </w:rPr>
            </w:pPr>
            <w:r w:rsidRPr="00AA0377">
              <w:rPr>
                <w:rFonts w:ascii="Times New Roman" w:eastAsia="Times New Roman" w:hAnsi="Times New Roman" w:cs="Times New Roman"/>
                <w:b/>
                <w:bCs/>
                <w:sz w:val="16"/>
                <w:szCs w:val="16"/>
                <w:lang w:eastAsia="ru-RU"/>
              </w:rPr>
              <w:t>2009</w:t>
            </w:r>
          </w:p>
        </w:tc>
        <w:tc>
          <w:tcPr>
            <w:tcW w:w="1275" w:type="dxa"/>
            <w:tcBorders>
              <w:top w:val="single" w:sz="8" w:space="0" w:color="auto"/>
              <w:left w:val="nil"/>
              <w:bottom w:val="single" w:sz="8" w:space="0" w:color="auto"/>
              <w:right w:val="single" w:sz="8" w:space="0" w:color="auto"/>
            </w:tcBorders>
            <w:shd w:val="clear" w:color="000000" w:fill="FFFFFF"/>
            <w:vAlign w:val="center"/>
            <w:hideMark/>
          </w:tcPr>
          <w:p w:rsidR="00AA0377" w:rsidRPr="00AA0377" w:rsidRDefault="00AA0377" w:rsidP="00AA0377">
            <w:pPr>
              <w:spacing w:after="0" w:line="240" w:lineRule="auto"/>
              <w:jc w:val="center"/>
              <w:rPr>
                <w:rFonts w:ascii="Times New Roman" w:eastAsia="Times New Roman" w:hAnsi="Times New Roman" w:cs="Times New Roman"/>
                <w:b/>
                <w:bCs/>
                <w:sz w:val="16"/>
                <w:szCs w:val="16"/>
                <w:lang w:eastAsia="ru-RU"/>
              </w:rPr>
            </w:pPr>
            <w:r w:rsidRPr="00AA0377">
              <w:rPr>
                <w:rFonts w:ascii="Times New Roman" w:eastAsia="Times New Roman" w:hAnsi="Times New Roman" w:cs="Times New Roman"/>
                <w:b/>
                <w:bCs/>
                <w:sz w:val="16"/>
                <w:szCs w:val="16"/>
                <w:lang w:eastAsia="ru-RU"/>
              </w:rPr>
              <w:t>2010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AA0377" w:rsidRPr="00AA0377" w:rsidRDefault="00AA0377" w:rsidP="00AA0377">
            <w:pPr>
              <w:spacing w:after="0" w:line="240" w:lineRule="auto"/>
              <w:jc w:val="center"/>
              <w:rPr>
                <w:rFonts w:ascii="Times New Roman" w:eastAsia="Times New Roman" w:hAnsi="Times New Roman" w:cs="Times New Roman"/>
                <w:b/>
                <w:bCs/>
                <w:sz w:val="16"/>
                <w:szCs w:val="16"/>
                <w:lang w:eastAsia="ru-RU"/>
              </w:rPr>
            </w:pPr>
            <w:r w:rsidRPr="00AA0377">
              <w:rPr>
                <w:rFonts w:ascii="Times New Roman" w:eastAsia="Times New Roman" w:hAnsi="Times New Roman" w:cs="Times New Roman"/>
                <w:b/>
                <w:bCs/>
                <w:sz w:val="16"/>
                <w:szCs w:val="16"/>
                <w:lang w:eastAsia="ru-RU"/>
              </w:rPr>
              <w:t>2011</w:t>
            </w:r>
          </w:p>
        </w:tc>
        <w:tc>
          <w:tcPr>
            <w:tcW w:w="1134" w:type="dxa"/>
            <w:tcBorders>
              <w:top w:val="single" w:sz="8" w:space="0" w:color="auto"/>
              <w:left w:val="nil"/>
              <w:bottom w:val="single" w:sz="8" w:space="0" w:color="auto"/>
              <w:right w:val="single" w:sz="8" w:space="0" w:color="auto"/>
            </w:tcBorders>
            <w:shd w:val="clear" w:color="000000" w:fill="FFFFFF"/>
            <w:noWrap/>
            <w:vAlign w:val="center"/>
            <w:hideMark/>
          </w:tcPr>
          <w:p w:rsidR="00AA0377" w:rsidRPr="00AA0377" w:rsidRDefault="00AA0377" w:rsidP="00AA0377">
            <w:pPr>
              <w:spacing w:after="0" w:line="240" w:lineRule="auto"/>
              <w:jc w:val="center"/>
              <w:rPr>
                <w:rFonts w:ascii="Times New Roman" w:eastAsia="Times New Roman" w:hAnsi="Times New Roman" w:cs="Times New Roman"/>
                <w:b/>
                <w:bCs/>
                <w:sz w:val="16"/>
                <w:szCs w:val="16"/>
                <w:lang w:eastAsia="ru-RU"/>
              </w:rPr>
            </w:pPr>
            <w:r w:rsidRPr="00AA0377">
              <w:rPr>
                <w:rFonts w:ascii="Times New Roman" w:eastAsia="Times New Roman" w:hAnsi="Times New Roman" w:cs="Times New Roman"/>
                <w:b/>
                <w:bCs/>
                <w:sz w:val="16"/>
                <w:szCs w:val="16"/>
                <w:lang w:eastAsia="ru-RU"/>
              </w:rPr>
              <w:t>2012</w:t>
            </w:r>
          </w:p>
        </w:tc>
        <w:tc>
          <w:tcPr>
            <w:tcW w:w="1134" w:type="dxa"/>
            <w:tcBorders>
              <w:top w:val="single" w:sz="8" w:space="0" w:color="auto"/>
              <w:left w:val="nil"/>
              <w:bottom w:val="single" w:sz="8" w:space="0" w:color="auto"/>
              <w:right w:val="single" w:sz="8" w:space="0" w:color="auto"/>
            </w:tcBorders>
            <w:shd w:val="clear" w:color="000000" w:fill="FFFFFF"/>
            <w:noWrap/>
            <w:vAlign w:val="center"/>
            <w:hideMark/>
          </w:tcPr>
          <w:p w:rsidR="00AA0377" w:rsidRPr="00AA0377" w:rsidRDefault="00AA0377" w:rsidP="00AA0377">
            <w:pPr>
              <w:spacing w:after="0" w:line="240" w:lineRule="auto"/>
              <w:jc w:val="center"/>
              <w:rPr>
                <w:rFonts w:ascii="Times New Roman" w:eastAsia="Times New Roman" w:hAnsi="Times New Roman" w:cs="Times New Roman"/>
                <w:b/>
                <w:bCs/>
                <w:sz w:val="16"/>
                <w:szCs w:val="16"/>
                <w:lang w:eastAsia="ru-RU"/>
              </w:rPr>
            </w:pPr>
            <w:r w:rsidRPr="00AA0377">
              <w:rPr>
                <w:rFonts w:ascii="Times New Roman" w:eastAsia="Times New Roman" w:hAnsi="Times New Roman" w:cs="Times New Roman"/>
                <w:b/>
                <w:bCs/>
                <w:sz w:val="16"/>
                <w:szCs w:val="16"/>
                <w:lang w:eastAsia="ru-RU"/>
              </w:rPr>
              <w:t>2013</w:t>
            </w:r>
          </w:p>
        </w:tc>
      </w:tr>
      <w:tr w:rsidR="00AA0377" w:rsidRPr="00AA0377" w:rsidTr="00C8135A">
        <w:trPr>
          <w:trHeight w:val="20"/>
        </w:trPr>
        <w:tc>
          <w:tcPr>
            <w:tcW w:w="160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AA0377" w:rsidRPr="00AA0377" w:rsidRDefault="00AA0377" w:rsidP="00AA0377">
            <w:pPr>
              <w:spacing w:after="0" w:line="240" w:lineRule="auto"/>
              <w:jc w:val="both"/>
              <w:rPr>
                <w:rFonts w:ascii="Times New Roman" w:eastAsia="Times New Roman" w:hAnsi="Times New Roman" w:cs="Times New Roman"/>
                <w:b/>
                <w:bCs/>
                <w:sz w:val="16"/>
                <w:szCs w:val="16"/>
                <w:lang w:val="en-US" w:eastAsia="ru-RU"/>
              </w:rPr>
            </w:pPr>
            <w:r w:rsidRPr="00AA0377">
              <w:rPr>
                <w:rFonts w:ascii="Times New Roman" w:eastAsia="Times New Roman" w:hAnsi="Times New Roman" w:cs="Times New Roman"/>
                <w:b/>
                <w:bCs/>
                <w:sz w:val="16"/>
                <w:szCs w:val="16"/>
                <w:lang w:val="en-US" w:eastAsia="ru-RU"/>
              </w:rPr>
              <w:t>Equity</w:t>
            </w:r>
          </w:p>
        </w:tc>
        <w:tc>
          <w:tcPr>
            <w:tcW w:w="1134" w:type="dxa"/>
            <w:tcBorders>
              <w:top w:val="nil"/>
              <w:left w:val="nil"/>
              <w:bottom w:val="single" w:sz="8" w:space="0" w:color="auto"/>
              <w:right w:val="single" w:sz="8" w:space="0" w:color="auto"/>
            </w:tcBorders>
            <w:shd w:val="clear" w:color="000000" w:fill="FFFFFF"/>
            <w:noWrap/>
            <w:vAlign w:val="center"/>
            <w:hideMark/>
          </w:tcPr>
          <w:p w:rsidR="00AA0377" w:rsidRPr="00AA0377" w:rsidRDefault="00AA0377" w:rsidP="00AA0377">
            <w:pPr>
              <w:spacing w:after="0" w:line="240" w:lineRule="auto"/>
              <w:jc w:val="center"/>
              <w:rPr>
                <w:rFonts w:ascii="Times New Roman" w:eastAsia="Times New Roman" w:hAnsi="Times New Roman" w:cs="Times New Roman"/>
                <w:b/>
                <w:bCs/>
                <w:sz w:val="16"/>
                <w:szCs w:val="16"/>
                <w:lang w:eastAsia="ru-RU"/>
              </w:rPr>
            </w:pPr>
            <w:r w:rsidRPr="00AA0377">
              <w:rPr>
                <w:rFonts w:ascii="Times New Roman" w:eastAsia="Times New Roman" w:hAnsi="Times New Roman" w:cs="Times New Roman"/>
                <w:b/>
                <w:bCs/>
                <w:sz w:val="16"/>
                <w:szCs w:val="16"/>
                <w:lang w:eastAsia="ru-RU"/>
              </w:rPr>
              <w:t xml:space="preserve">  715,875   </w:t>
            </w:r>
          </w:p>
        </w:tc>
        <w:tc>
          <w:tcPr>
            <w:tcW w:w="1101" w:type="dxa"/>
            <w:tcBorders>
              <w:top w:val="nil"/>
              <w:left w:val="nil"/>
              <w:bottom w:val="single" w:sz="8" w:space="0" w:color="auto"/>
              <w:right w:val="single" w:sz="8" w:space="0" w:color="auto"/>
            </w:tcBorders>
            <w:shd w:val="clear" w:color="000000" w:fill="FFFFFF"/>
            <w:noWrap/>
            <w:vAlign w:val="center"/>
            <w:hideMark/>
          </w:tcPr>
          <w:p w:rsidR="00AA0377" w:rsidRPr="00AA0377" w:rsidRDefault="00AA0377" w:rsidP="00AA0377">
            <w:pPr>
              <w:spacing w:after="0" w:line="240" w:lineRule="auto"/>
              <w:jc w:val="center"/>
              <w:rPr>
                <w:rFonts w:ascii="Times New Roman" w:eastAsia="Times New Roman" w:hAnsi="Times New Roman" w:cs="Times New Roman"/>
                <w:b/>
                <w:bCs/>
                <w:sz w:val="16"/>
                <w:szCs w:val="16"/>
                <w:lang w:eastAsia="ru-RU"/>
              </w:rPr>
            </w:pPr>
            <w:r w:rsidRPr="00AA0377">
              <w:rPr>
                <w:rFonts w:ascii="Times New Roman" w:eastAsia="Times New Roman" w:hAnsi="Times New Roman" w:cs="Times New Roman"/>
                <w:b/>
                <w:bCs/>
                <w:sz w:val="16"/>
                <w:szCs w:val="16"/>
                <w:lang w:eastAsia="ru-RU"/>
              </w:rPr>
              <w:t xml:space="preserve">      2,131,622   </w:t>
            </w:r>
          </w:p>
        </w:tc>
        <w:tc>
          <w:tcPr>
            <w:tcW w:w="1134" w:type="dxa"/>
            <w:tcBorders>
              <w:top w:val="nil"/>
              <w:left w:val="nil"/>
              <w:bottom w:val="single" w:sz="8" w:space="0" w:color="auto"/>
              <w:right w:val="single" w:sz="8" w:space="0" w:color="auto"/>
            </w:tcBorders>
            <w:shd w:val="clear" w:color="000000" w:fill="FFFFFF"/>
            <w:noWrap/>
            <w:vAlign w:val="center"/>
            <w:hideMark/>
          </w:tcPr>
          <w:p w:rsidR="00AA0377" w:rsidRPr="00AA0377" w:rsidRDefault="00AA0377" w:rsidP="00AA0377">
            <w:pPr>
              <w:spacing w:after="0" w:line="240" w:lineRule="auto"/>
              <w:jc w:val="center"/>
              <w:rPr>
                <w:rFonts w:ascii="Times New Roman" w:eastAsia="Times New Roman" w:hAnsi="Times New Roman" w:cs="Times New Roman"/>
                <w:b/>
                <w:bCs/>
                <w:sz w:val="16"/>
                <w:szCs w:val="16"/>
                <w:lang w:eastAsia="ru-RU"/>
              </w:rPr>
            </w:pPr>
            <w:r w:rsidRPr="00AA0377">
              <w:rPr>
                <w:rFonts w:ascii="Times New Roman" w:eastAsia="Times New Roman" w:hAnsi="Times New Roman" w:cs="Times New Roman"/>
                <w:b/>
                <w:bCs/>
                <w:sz w:val="16"/>
                <w:szCs w:val="16"/>
                <w:lang w:eastAsia="ru-RU"/>
              </w:rPr>
              <w:t xml:space="preserve">    4,251,640   </w:t>
            </w:r>
          </w:p>
        </w:tc>
        <w:tc>
          <w:tcPr>
            <w:tcW w:w="1275" w:type="dxa"/>
            <w:tcBorders>
              <w:top w:val="nil"/>
              <w:left w:val="nil"/>
              <w:bottom w:val="single" w:sz="8" w:space="0" w:color="auto"/>
              <w:right w:val="single" w:sz="8" w:space="0" w:color="auto"/>
            </w:tcBorders>
            <w:shd w:val="clear" w:color="000000" w:fill="FFFFFF"/>
            <w:noWrap/>
            <w:vAlign w:val="center"/>
            <w:hideMark/>
          </w:tcPr>
          <w:p w:rsidR="00AA0377" w:rsidRPr="00AA0377" w:rsidRDefault="00AA0377" w:rsidP="00AA0377">
            <w:pPr>
              <w:spacing w:after="0" w:line="240" w:lineRule="auto"/>
              <w:jc w:val="center"/>
              <w:rPr>
                <w:rFonts w:ascii="Times New Roman" w:eastAsia="Times New Roman" w:hAnsi="Times New Roman" w:cs="Times New Roman"/>
                <w:b/>
                <w:bCs/>
                <w:sz w:val="16"/>
                <w:szCs w:val="16"/>
                <w:lang w:eastAsia="ru-RU"/>
              </w:rPr>
            </w:pPr>
            <w:r w:rsidRPr="00AA0377">
              <w:rPr>
                <w:rFonts w:ascii="Times New Roman" w:eastAsia="Times New Roman" w:hAnsi="Times New Roman" w:cs="Times New Roman"/>
                <w:b/>
                <w:bCs/>
                <w:sz w:val="16"/>
                <w:szCs w:val="16"/>
                <w:lang w:eastAsia="ru-RU"/>
              </w:rPr>
              <w:t xml:space="preserve">    8,126,112   </w:t>
            </w:r>
          </w:p>
        </w:tc>
        <w:tc>
          <w:tcPr>
            <w:tcW w:w="1134" w:type="dxa"/>
            <w:tcBorders>
              <w:top w:val="nil"/>
              <w:left w:val="nil"/>
              <w:bottom w:val="single" w:sz="8" w:space="0" w:color="auto"/>
              <w:right w:val="single" w:sz="8" w:space="0" w:color="auto"/>
            </w:tcBorders>
            <w:shd w:val="clear" w:color="000000" w:fill="FFFFFF"/>
            <w:noWrap/>
            <w:vAlign w:val="center"/>
            <w:hideMark/>
          </w:tcPr>
          <w:p w:rsidR="00AA0377" w:rsidRPr="00AA0377" w:rsidRDefault="00AA0377" w:rsidP="00AA0377">
            <w:pPr>
              <w:spacing w:after="0" w:line="240" w:lineRule="auto"/>
              <w:jc w:val="center"/>
              <w:rPr>
                <w:rFonts w:ascii="Times New Roman" w:eastAsia="Times New Roman" w:hAnsi="Times New Roman" w:cs="Times New Roman"/>
                <w:b/>
                <w:bCs/>
                <w:sz w:val="16"/>
                <w:szCs w:val="16"/>
                <w:lang w:eastAsia="ru-RU"/>
              </w:rPr>
            </w:pPr>
            <w:r w:rsidRPr="00AA0377">
              <w:rPr>
                <w:rFonts w:ascii="Times New Roman" w:eastAsia="Times New Roman" w:hAnsi="Times New Roman" w:cs="Times New Roman"/>
                <w:b/>
                <w:bCs/>
                <w:sz w:val="16"/>
                <w:szCs w:val="16"/>
                <w:lang w:eastAsia="ru-RU"/>
              </w:rPr>
              <w:t xml:space="preserve">    9,999,913   </w:t>
            </w:r>
          </w:p>
        </w:tc>
        <w:tc>
          <w:tcPr>
            <w:tcW w:w="1134" w:type="dxa"/>
            <w:tcBorders>
              <w:top w:val="nil"/>
              <w:left w:val="nil"/>
              <w:bottom w:val="single" w:sz="8" w:space="0" w:color="auto"/>
              <w:right w:val="single" w:sz="8" w:space="0" w:color="auto"/>
            </w:tcBorders>
            <w:shd w:val="clear" w:color="000000" w:fill="FFFFFF"/>
            <w:noWrap/>
            <w:vAlign w:val="center"/>
            <w:hideMark/>
          </w:tcPr>
          <w:p w:rsidR="00AA0377" w:rsidRPr="00AA0377" w:rsidRDefault="00AA0377" w:rsidP="00AA0377">
            <w:pPr>
              <w:spacing w:after="0" w:line="240" w:lineRule="auto"/>
              <w:jc w:val="center"/>
              <w:rPr>
                <w:rFonts w:ascii="Times New Roman" w:eastAsia="Times New Roman" w:hAnsi="Times New Roman" w:cs="Times New Roman"/>
                <w:b/>
                <w:bCs/>
                <w:sz w:val="16"/>
                <w:szCs w:val="16"/>
                <w:lang w:eastAsia="ru-RU"/>
              </w:rPr>
            </w:pPr>
            <w:r w:rsidRPr="00AA0377">
              <w:rPr>
                <w:rFonts w:ascii="Times New Roman" w:eastAsia="Times New Roman" w:hAnsi="Times New Roman" w:cs="Times New Roman"/>
                <w:b/>
                <w:bCs/>
                <w:sz w:val="16"/>
                <w:szCs w:val="16"/>
                <w:lang w:eastAsia="ru-RU"/>
              </w:rPr>
              <w:t xml:space="preserve">  13,501,400   </w:t>
            </w:r>
          </w:p>
        </w:tc>
        <w:tc>
          <w:tcPr>
            <w:tcW w:w="1134" w:type="dxa"/>
            <w:tcBorders>
              <w:top w:val="nil"/>
              <w:left w:val="nil"/>
              <w:bottom w:val="single" w:sz="8" w:space="0" w:color="auto"/>
              <w:right w:val="single" w:sz="8" w:space="0" w:color="auto"/>
            </w:tcBorders>
            <w:shd w:val="clear" w:color="000000" w:fill="FFFFFF"/>
            <w:noWrap/>
            <w:vAlign w:val="center"/>
            <w:hideMark/>
          </w:tcPr>
          <w:p w:rsidR="00AA0377" w:rsidRPr="00AA0377" w:rsidRDefault="00AA0377" w:rsidP="00AA0377">
            <w:pPr>
              <w:spacing w:after="0" w:line="240" w:lineRule="auto"/>
              <w:jc w:val="center"/>
              <w:rPr>
                <w:rFonts w:ascii="Times New Roman" w:eastAsia="Times New Roman" w:hAnsi="Times New Roman" w:cs="Times New Roman"/>
                <w:b/>
                <w:bCs/>
                <w:sz w:val="16"/>
                <w:szCs w:val="16"/>
                <w:lang w:eastAsia="ru-RU"/>
              </w:rPr>
            </w:pPr>
            <w:r w:rsidRPr="00AA0377">
              <w:rPr>
                <w:rFonts w:ascii="Times New Roman" w:eastAsia="Times New Roman" w:hAnsi="Times New Roman" w:cs="Times New Roman"/>
                <w:b/>
                <w:bCs/>
                <w:sz w:val="16"/>
                <w:szCs w:val="16"/>
                <w:lang w:eastAsia="ru-RU"/>
              </w:rPr>
              <w:t xml:space="preserve">   28,839,271   </w:t>
            </w:r>
          </w:p>
        </w:tc>
      </w:tr>
      <w:tr w:rsidR="00AA0377" w:rsidRPr="00AA0377" w:rsidTr="00C8135A">
        <w:trPr>
          <w:trHeight w:val="20"/>
        </w:trPr>
        <w:tc>
          <w:tcPr>
            <w:tcW w:w="1608" w:type="dxa"/>
            <w:tcBorders>
              <w:top w:val="nil"/>
              <w:left w:val="single" w:sz="8" w:space="0" w:color="auto"/>
              <w:bottom w:val="single" w:sz="8" w:space="0" w:color="auto"/>
              <w:right w:val="single" w:sz="8" w:space="0" w:color="auto"/>
            </w:tcBorders>
            <w:shd w:val="clear" w:color="000000" w:fill="FFFFFF"/>
            <w:vAlign w:val="center"/>
            <w:hideMark/>
          </w:tcPr>
          <w:p w:rsidR="00AA0377" w:rsidRPr="00AA0377" w:rsidRDefault="00AA0377" w:rsidP="00AA0377">
            <w:pPr>
              <w:jc w:val="both"/>
              <w:rPr>
                <w:b/>
                <w:sz w:val="16"/>
                <w:szCs w:val="16"/>
                <w:lang w:val="en-US"/>
              </w:rPr>
            </w:pPr>
            <w:r w:rsidRPr="00AA0377">
              <w:rPr>
                <w:rFonts w:ascii="Times New Roman" w:hAnsi="Times New Roman" w:cs="Times New Roman"/>
                <w:b/>
                <w:sz w:val="16"/>
                <w:szCs w:val="16"/>
                <w:lang w:val="en-US"/>
              </w:rPr>
              <w:t>Retained earnings</w:t>
            </w:r>
          </w:p>
        </w:tc>
        <w:tc>
          <w:tcPr>
            <w:tcW w:w="1134" w:type="dxa"/>
            <w:tcBorders>
              <w:top w:val="nil"/>
              <w:left w:val="nil"/>
              <w:bottom w:val="single" w:sz="8" w:space="0" w:color="auto"/>
              <w:right w:val="single" w:sz="8" w:space="0" w:color="auto"/>
            </w:tcBorders>
            <w:shd w:val="clear" w:color="000000" w:fill="FFFFFF"/>
            <w:noWrap/>
            <w:vAlign w:val="center"/>
            <w:hideMark/>
          </w:tcPr>
          <w:p w:rsidR="00AA0377" w:rsidRPr="00AA0377" w:rsidRDefault="00AA0377" w:rsidP="00AA0377">
            <w:pPr>
              <w:spacing w:after="0" w:line="240" w:lineRule="auto"/>
              <w:jc w:val="center"/>
              <w:rPr>
                <w:rFonts w:ascii="Times New Roman" w:eastAsia="Times New Roman" w:hAnsi="Times New Roman" w:cs="Times New Roman"/>
                <w:b/>
                <w:bCs/>
                <w:sz w:val="16"/>
                <w:szCs w:val="16"/>
                <w:lang w:eastAsia="ru-RU"/>
              </w:rPr>
            </w:pPr>
            <w:r w:rsidRPr="00AA0377">
              <w:rPr>
                <w:rFonts w:ascii="Times New Roman" w:eastAsia="Times New Roman" w:hAnsi="Times New Roman" w:cs="Times New Roman"/>
                <w:b/>
                <w:bCs/>
                <w:sz w:val="16"/>
                <w:szCs w:val="16"/>
                <w:lang w:eastAsia="ru-RU"/>
              </w:rPr>
              <w:t xml:space="preserve">    15,258   </w:t>
            </w:r>
          </w:p>
        </w:tc>
        <w:tc>
          <w:tcPr>
            <w:tcW w:w="1101" w:type="dxa"/>
            <w:tcBorders>
              <w:top w:val="nil"/>
              <w:left w:val="nil"/>
              <w:bottom w:val="single" w:sz="8" w:space="0" w:color="auto"/>
              <w:right w:val="single" w:sz="8" w:space="0" w:color="auto"/>
            </w:tcBorders>
            <w:shd w:val="clear" w:color="000000" w:fill="FFFFFF"/>
            <w:noWrap/>
            <w:vAlign w:val="center"/>
            <w:hideMark/>
          </w:tcPr>
          <w:p w:rsidR="00AA0377" w:rsidRPr="00AA0377" w:rsidRDefault="00AA0377" w:rsidP="00AA0377">
            <w:pPr>
              <w:spacing w:after="0" w:line="240" w:lineRule="auto"/>
              <w:jc w:val="center"/>
              <w:rPr>
                <w:rFonts w:ascii="Times New Roman" w:eastAsia="Times New Roman" w:hAnsi="Times New Roman" w:cs="Times New Roman"/>
                <w:b/>
                <w:bCs/>
                <w:sz w:val="16"/>
                <w:szCs w:val="16"/>
                <w:lang w:eastAsia="ru-RU"/>
              </w:rPr>
            </w:pPr>
            <w:r w:rsidRPr="00AA0377">
              <w:rPr>
                <w:rFonts w:ascii="Times New Roman" w:eastAsia="Times New Roman" w:hAnsi="Times New Roman" w:cs="Times New Roman"/>
                <w:b/>
                <w:bCs/>
                <w:sz w:val="16"/>
                <w:szCs w:val="16"/>
                <w:lang w:eastAsia="ru-RU"/>
              </w:rPr>
              <w:t xml:space="preserve">         373,478   </w:t>
            </w:r>
          </w:p>
        </w:tc>
        <w:tc>
          <w:tcPr>
            <w:tcW w:w="1134" w:type="dxa"/>
            <w:tcBorders>
              <w:top w:val="nil"/>
              <w:left w:val="nil"/>
              <w:bottom w:val="single" w:sz="8" w:space="0" w:color="auto"/>
              <w:right w:val="single" w:sz="8" w:space="0" w:color="auto"/>
            </w:tcBorders>
            <w:shd w:val="clear" w:color="000000" w:fill="FFFFFF"/>
            <w:noWrap/>
            <w:vAlign w:val="center"/>
            <w:hideMark/>
          </w:tcPr>
          <w:p w:rsidR="00AA0377" w:rsidRPr="00AA0377" w:rsidRDefault="00AA0377" w:rsidP="00AA0377">
            <w:pPr>
              <w:spacing w:after="0" w:line="240" w:lineRule="auto"/>
              <w:jc w:val="center"/>
              <w:rPr>
                <w:rFonts w:ascii="Times New Roman" w:eastAsia="Times New Roman" w:hAnsi="Times New Roman" w:cs="Times New Roman"/>
                <w:b/>
                <w:bCs/>
                <w:sz w:val="16"/>
                <w:szCs w:val="16"/>
                <w:lang w:eastAsia="ru-RU"/>
              </w:rPr>
            </w:pPr>
            <w:r w:rsidRPr="00AA0377">
              <w:rPr>
                <w:rFonts w:ascii="Times New Roman" w:eastAsia="Times New Roman" w:hAnsi="Times New Roman" w:cs="Times New Roman"/>
                <w:b/>
                <w:bCs/>
                <w:sz w:val="16"/>
                <w:szCs w:val="16"/>
                <w:lang w:eastAsia="ru-RU"/>
              </w:rPr>
              <w:t xml:space="preserve">       937,956   </w:t>
            </w:r>
          </w:p>
        </w:tc>
        <w:tc>
          <w:tcPr>
            <w:tcW w:w="1275" w:type="dxa"/>
            <w:tcBorders>
              <w:top w:val="nil"/>
              <w:left w:val="nil"/>
              <w:bottom w:val="single" w:sz="8" w:space="0" w:color="auto"/>
              <w:right w:val="single" w:sz="8" w:space="0" w:color="auto"/>
            </w:tcBorders>
            <w:shd w:val="clear" w:color="000000" w:fill="FFFFFF"/>
            <w:noWrap/>
            <w:vAlign w:val="center"/>
            <w:hideMark/>
          </w:tcPr>
          <w:p w:rsidR="00AA0377" w:rsidRPr="00AA0377" w:rsidRDefault="00AA0377" w:rsidP="00AA0377">
            <w:pPr>
              <w:spacing w:after="0" w:line="240" w:lineRule="auto"/>
              <w:jc w:val="center"/>
              <w:rPr>
                <w:rFonts w:ascii="Times New Roman" w:eastAsia="Times New Roman" w:hAnsi="Times New Roman" w:cs="Times New Roman"/>
                <w:b/>
                <w:bCs/>
                <w:sz w:val="16"/>
                <w:szCs w:val="16"/>
                <w:lang w:eastAsia="ru-RU"/>
              </w:rPr>
            </w:pPr>
            <w:r w:rsidRPr="00AA0377">
              <w:rPr>
                <w:rFonts w:ascii="Times New Roman" w:eastAsia="Times New Roman" w:hAnsi="Times New Roman" w:cs="Times New Roman"/>
                <w:b/>
                <w:bCs/>
                <w:sz w:val="16"/>
                <w:szCs w:val="16"/>
                <w:lang w:eastAsia="ru-RU"/>
              </w:rPr>
              <w:t xml:space="preserve">    1,738,448   </w:t>
            </w:r>
          </w:p>
        </w:tc>
        <w:tc>
          <w:tcPr>
            <w:tcW w:w="1134" w:type="dxa"/>
            <w:tcBorders>
              <w:top w:val="nil"/>
              <w:left w:val="nil"/>
              <w:bottom w:val="single" w:sz="8" w:space="0" w:color="auto"/>
              <w:right w:val="single" w:sz="8" w:space="0" w:color="auto"/>
            </w:tcBorders>
            <w:shd w:val="clear" w:color="000000" w:fill="FFFFFF"/>
            <w:noWrap/>
            <w:vAlign w:val="center"/>
            <w:hideMark/>
          </w:tcPr>
          <w:p w:rsidR="00AA0377" w:rsidRPr="00AA0377" w:rsidRDefault="00AA0377" w:rsidP="00AA0377">
            <w:pPr>
              <w:spacing w:after="0" w:line="240" w:lineRule="auto"/>
              <w:jc w:val="center"/>
              <w:rPr>
                <w:rFonts w:ascii="Times New Roman" w:eastAsia="Times New Roman" w:hAnsi="Times New Roman" w:cs="Times New Roman"/>
                <w:b/>
                <w:bCs/>
                <w:sz w:val="16"/>
                <w:szCs w:val="16"/>
                <w:lang w:eastAsia="ru-RU"/>
              </w:rPr>
            </w:pPr>
            <w:r w:rsidRPr="00AA0377">
              <w:rPr>
                <w:rFonts w:ascii="Times New Roman" w:eastAsia="Times New Roman" w:hAnsi="Times New Roman" w:cs="Times New Roman"/>
                <w:b/>
                <w:bCs/>
                <w:sz w:val="16"/>
                <w:szCs w:val="16"/>
                <w:lang w:eastAsia="ru-RU"/>
              </w:rPr>
              <w:t xml:space="preserve">    3,615,799   </w:t>
            </w:r>
          </w:p>
        </w:tc>
        <w:tc>
          <w:tcPr>
            <w:tcW w:w="1134" w:type="dxa"/>
            <w:tcBorders>
              <w:top w:val="nil"/>
              <w:left w:val="nil"/>
              <w:bottom w:val="single" w:sz="8" w:space="0" w:color="auto"/>
              <w:right w:val="single" w:sz="8" w:space="0" w:color="auto"/>
            </w:tcBorders>
            <w:shd w:val="clear" w:color="000000" w:fill="FFFFFF"/>
            <w:noWrap/>
            <w:vAlign w:val="center"/>
            <w:hideMark/>
          </w:tcPr>
          <w:p w:rsidR="00AA0377" w:rsidRPr="00AA0377" w:rsidRDefault="00AA0377" w:rsidP="00AA0377">
            <w:pPr>
              <w:spacing w:after="0" w:line="240" w:lineRule="auto"/>
              <w:jc w:val="center"/>
              <w:rPr>
                <w:rFonts w:ascii="Times New Roman" w:eastAsia="Times New Roman" w:hAnsi="Times New Roman" w:cs="Times New Roman"/>
                <w:b/>
                <w:bCs/>
                <w:sz w:val="16"/>
                <w:szCs w:val="16"/>
                <w:lang w:eastAsia="ru-RU"/>
              </w:rPr>
            </w:pPr>
            <w:r w:rsidRPr="00AA0377">
              <w:rPr>
                <w:rFonts w:ascii="Times New Roman" w:eastAsia="Times New Roman" w:hAnsi="Times New Roman" w:cs="Times New Roman"/>
                <w:b/>
                <w:bCs/>
                <w:sz w:val="16"/>
                <w:szCs w:val="16"/>
                <w:lang w:eastAsia="ru-RU"/>
              </w:rPr>
              <w:t xml:space="preserve">    7,034,380   </w:t>
            </w:r>
          </w:p>
        </w:tc>
        <w:tc>
          <w:tcPr>
            <w:tcW w:w="1134" w:type="dxa"/>
            <w:tcBorders>
              <w:top w:val="nil"/>
              <w:left w:val="nil"/>
              <w:bottom w:val="single" w:sz="8" w:space="0" w:color="auto"/>
              <w:right w:val="single" w:sz="8" w:space="0" w:color="auto"/>
            </w:tcBorders>
            <w:shd w:val="clear" w:color="000000" w:fill="FFFFFF"/>
            <w:noWrap/>
            <w:vAlign w:val="center"/>
            <w:hideMark/>
          </w:tcPr>
          <w:p w:rsidR="00AA0377" w:rsidRPr="00AA0377" w:rsidRDefault="00AA0377" w:rsidP="00AA0377">
            <w:pPr>
              <w:spacing w:after="0" w:line="240" w:lineRule="auto"/>
              <w:jc w:val="center"/>
              <w:rPr>
                <w:rFonts w:ascii="Times New Roman" w:eastAsia="Times New Roman" w:hAnsi="Times New Roman" w:cs="Times New Roman"/>
                <w:b/>
                <w:bCs/>
                <w:sz w:val="16"/>
                <w:szCs w:val="16"/>
                <w:lang w:eastAsia="ru-RU"/>
              </w:rPr>
            </w:pPr>
            <w:r w:rsidRPr="00AA0377">
              <w:rPr>
                <w:rFonts w:ascii="Times New Roman" w:eastAsia="Times New Roman" w:hAnsi="Times New Roman" w:cs="Times New Roman"/>
                <w:b/>
                <w:bCs/>
                <w:sz w:val="16"/>
                <w:szCs w:val="16"/>
                <w:lang w:eastAsia="ru-RU"/>
              </w:rPr>
              <w:t xml:space="preserve">   13,371,249   </w:t>
            </w:r>
          </w:p>
        </w:tc>
      </w:tr>
      <w:tr w:rsidR="00AA0377" w:rsidRPr="00AA0377" w:rsidTr="00C8135A">
        <w:trPr>
          <w:trHeight w:val="20"/>
        </w:trPr>
        <w:tc>
          <w:tcPr>
            <w:tcW w:w="1608" w:type="dxa"/>
            <w:tcBorders>
              <w:top w:val="nil"/>
              <w:left w:val="single" w:sz="8" w:space="0" w:color="auto"/>
              <w:bottom w:val="single" w:sz="8" w:space="0" w:color="auto"/>
              <w:right w:val="single" w:sz="8" w:space="0" w:color="auto"/>
            </w:tcBorders>
            <w:shd w:val="clear" w:color="000000" w:fill="FFFFFF"/>
            <w:vAlign w:val="center"/>
            <w:hideMark/>
          </w:tcPr>
          <w:p w:rsidR="00AA0377" w:rsidRPr="00AA0377" w:rsidRDefault="00AA0377" w:rsidP="00AA0377">
            <w:pPr>
              <w:jc w:val="both"/>
              <w:rPr>
                <w:b/>
                <w:sz w:val="16"/>
                <w:szCs w:val="16"/>
                <w:lang w:val="en-US"/>
              </w:rPr>
            </w:pPr>
            <w:r w:rsidRPr="00AA0377">
              <w:rPr>
                <w:rFonts w:ascii="Times New Roman" w:hAnsi="Times New Roman" w:cs="Times New Roman"/>
                <w:b/>
                <w:sz w:val="16"/>
                <w:szCs w:val="16"/>
                <w:lang w:val="en-US"/>
              </w:rPr>
              <w:t>Authorized capital</w:t>
            </w:r>
          </w:p>
        </w:tc>
        <w:tc>
          <w:tcPr>
            <w:tcW w:w="1134" w:type="dxa"/>
            <w:tcBorders>
              <w:top w:val="nil"/>
              <w:left w:val="nil"/>
              <w:bottom w:val="single" w:sz="8" w:space="0" w:color="auto"/>
              <w:right w:val="single" w:sz="8" w:space="0" w:color="auto"/>
            </w:tcBorders>
            <w:shd w:val="clear" w:color="000000" w:fill="FFFFFF"/>
            <w:noWrap/>
            <w:vAlign w:val="center"/>
            <w:hideMark/>
          </w:tcPr>
          <w:p w:rsidR="00AA0377" w:rsidRPr="00AA0377" w:rsidRDefault="00AA0377" w:rsidP="00AA0377">
            <w:pPr>
              <w:spacing w:after="0" w:line="240" w:lineRule="auto"/>
              <w:jc w:val="center"/>
              <w:rPr>
                <w:rFonts w:ascii="Times New Roman" w:eastAsia="Times New Roman" w:hAnsi="Times New Roman" w:cs="Times New Roman"/>
                <w:b/>
                <w:bCs/>
                <w:sz w:val="16"/>
                <w:szCs w:val="16"/>
                <w:lang w:eastAsia="ru-RU"/>
              </w:rPr>
            </w:pPr>
            <w:r w:rsidRPr="00AA0377">
              <w:rPr>
                <w:rFonts w:ascii="Times New Roman" w:eastAsia="Times New Roman" w:hAnsi="Times New Roman" w:cs="Times New Roman"/>
                <w:b/>
                <w:bCs/>
                <w:sz w:val="16"/>
                <w:szCs w:val="16"/>
                <w:lang w:eastAsia="ru-RU"/>
              </w:rPr>
              <w:t xml:space="preserve">  700,000   </w:t>
            </w:r>
          </w:p>
        </w:tc>
        <w:tc>
          <w:tcPr>
            <w:tcW w:w="1101" w:type="dxa"/>
            <w:tcBorders>
              <w:top w:val="nil"/>
              <w:left w:val="nil"/>
              <w:bottom w:val="single" w:sz="8" w:space="0" w:color="auto"/>
              <w:right w:val="single" w:sz="8" w:space="0" w:color="auto"/>
            </w:tcBorders>
            <w:shd w:val="clear" w:color="000000" w:fill="FFFFFF"/>
            <w:noWrap/>
            <w:vAlign w:val="center"/>
            <w:hideMark/>
          </w:tcPr>
          <w:p w:rsidR="00AA0377" w:rsidRPr="00AA0377" w:rsidRDefault="00AA0377" w:rsidP="00AA0377">
            <w:pPr>
              <w:spacing w:after="0" w:line="240" w:lineRule="auto"/>
              <w:jc w:val="center"/>
              <w:rPr>
                <w:rFonts w:ascii="Times New Roman" w:eastAsia="Times New Roman" w:hAnsi="Times New Roman" w:cs="Times New Roman"/>
                <w:b/>
                <w:bCs/>
                <w:sz w:val="16"/>
                <w:szCs w:val="16"/>
                <w:lang w:eastAsia="ru-RU"/>
              </w:rPr>
            </w:pPr>
            <w:r w:rsidRPr="00AA0377">
              <w:rPr>
                <w:rFonts w:ascii="Times New Roman" w:eastAsia="Times New Roman" w:hAnsi="Times New Roman" w:cs="Times New Roman"/>
                <w:b/>
                <w:bCs/>
                <w:sz w:val="16"/>
                <w:szCs w:val="16"/>
                <w:lang w:eastAsia="ru-RU"/>
              </w:rPr>
              <w:t xml:space="preserve">      1,735,000   </w:t>
            </w:r>
          </w:p>
        </w:tc>
        <w:tc>
          <w:tcPr>
            <w:tcW w:w="1134" w:type="dxa"/>
            <w:tcBorders>
              <w:top w:val="nil"/>
              <w:left w:val="nil"/>
              <w:bottom w:val="single" w:sz="8" w:space="0" w:color="auto"/>
              <w:right w:val="single" w:sz="8" w:space="0" w:color="auto"/>
            </w:tcBorders>
            <w:shd w:val="clear" w:color="000000" w:fill="FFFFFF"/>
            <w:noWrap/>
            <w:vAlign w:val="center"/>
            <w:hideMark/>
          </w:tcPr>
          <w:p w:rsidR="00AA0377" w:rsidRPr="00AA0377" w:rsidRDefault="00AA0377" w:rsidP="00AA0377">
            <w:pPr>
              <w:spacing w:after="0" w:line="240" w:lineRule="auto"/>
              <w:jc w:val="center"/>
              <w:rPr>
                <w:rFonts w:ascii="Times New Roman" w:eastAsia="Times New Roman" w:hAnsi="Times New Roman" w:cs="Times New Roman"/>
                <w:b/>
                <w:bCs/>
                <w:sz w:val="16"/>
                <w:szCs w:val="16"/>
                <w:lang w:eastAsia="ru-RU"/>
              </w:rPr>
            </w:pPr>
            <w:r w:rsidRPr="00AA0377">
              <w:rPr>
                <w:rFonts w:ascii="Times New Roman" w:eastAsia="Times New Roman" w:hAnsi="Times New Roman" w:cs="Times New Roman"/>
                <w:b/>
                <w:bCs/>
                <w:sz w:val="16"/>
                <w:szCs w:val="16"/>
                <w:lang w:eastAsia="ru-RU"/>
              </w:rPr>
              <w:t xml:space="preserve">    1,735,000   </w:t>
            </w:r>
          </w:p>
        </w:tc>
        <w:tc>
          <w:tcPr>
            <w:tcW w:w="1275" w:type="dxa"/>
            <w:tcBorders>
              <w:top w:val="nil"/>
              <w:left w:val="nil"/>
              <w:bottom w:val="single" w:sz="8" w:space="0" w:color="auto"/>
              <w:right w:val="single" w:sz="8" w:space="0" w:color="auto"/>
            </w:tcBorders>
            <w:shd w:val="clear" w:color="000000" w:fill="FFFFFF"/>
            <w:noWrap/>
            <w:vAlign w:val="center"/>
            <w:hideMark/>
          </w:tcPr>
          <w:p w:rsidR="00AA0377" w:rsidRPr="00AA0377" w:rsidRDefault="00AA0377" w:rsidP="00AA0377">
            <w:pPr>
              <w:spacing w:after="0" w:line="240" w:lineRule="auto"/>
              <w:jc w:val="center"/>
              <w:rPr>
                <w:rFonts w:ascii="Times New Roman" w:eastAsia="Times New Roman" w:hAnsi="Times New Roman" w:cs="Times New Roman"/>
                <w:b/>
                <w:bCs/>
                <w:sz w:val="16"/>
                <w:szCs w:val="16"/>
                <w:lang w:eastAsia="ru-RU"/>
              </w:rPr>
            </w:pPr>
            <w:r w:rsidRPr="00AA0377">
              <w:rPr>
                <w:rFonts w:ascii="Times New Roman" w:eastAsia="Times New Roman" w:hAnsi="Times New Roman" w:cs="Times New Roman"/>
                <w:b/>
                <w:bCs/>
                <w:sz w:val="16"/>
                <w:szCs w:val="16"/>
                <w:lang w:eastAsia="ru-RU"/>
              </w:rPr>
              <w:t xml:space="preserve">    4,435,000   </w:t>
            </w:r>
          </w:p>
        </w:tc>
        <w:tc>
          <w:tcPr>
            <w:tcW w:w="1134" w:type="dxa"/>
            <w:tcBorders>
              <w:top w:val="nil"/>
              <w:left w:val="nil"/>
              <w:bottom w:val="single" w:sz="8" w:space="0" w:color="auto"/>
              <w:right w:val="single" w:sz="8" w:space="0" w:color="auto"/>
            </w:tcBorders>
            <w:shd w:val="clear" w:color="000000" w:fill="FFFFFF"/>
            <w:noWrap/>
            <w:vAlign w:val="center"/>
            <w:hideMark/>
          </w:tcPr>
          <w:p w:rsidR="00AA0377" w:rsidRPr="00AA0377" w:rsidRDefault="00AA0377" w:rsidP="00AA0377">
            <w:pPr>
              <w:spacing w:after="0" w:line="240" w:lineRule="auto"/>
              <w:jc w:val="center"/>
              <w:rPr>
                <w:rFonts w:ascii="Times New Roman" w:eastAsia="Times New Roman" w:hAnsi="Times New Roman" w:cs="Times New Roman"/>
                <w:b/>
                <w:bCs/>
                <w:sz w:val="16"/>
                <w:szCs w:val="16"/>
                <w:lang w:eastAsia="ru-RU"/>
              </w:rPr>
            </w:pPr>
            <w:r w:rsidRPr="00AA0377">
              <w:rPr>
                <w:rFonts w:ascii="Times New Roman" w:eastAsia="Times New Roman" w:hAnsi="Times New Roman" w:cs="Times New Roman"/>
                <w:b/>
                <w:bCs/>
                <w:sz w:val="16"/>
                <w:szCs w:val="16"/>
                <w:lang w:eastAsia="ru-RU"/>
              </w:rPr>
              <w:t xml:space="preserve">    6,170,000   </w:t>
            </w:r>
          </w:p>
        </w:tc>
        <w:tc>
          <w:tcPr>
            <w:tcW w:w="1134" w:type="dxa"/>
            <w:tcBorders>
              <w:top w:val="nil"/>
              <w:left w:val="nil"/>
              <w:bottom w:val="single" w:sz="8" w:space="0" w:color="auto"/>
              <w:right w:val="single" w:sz="8" w:space="0" w:color="auto"/>
            </w:tcBorders>
            <w:shd w:val="clear" w:color="000000" w:fill="FFFFFF"/>
            <w:noWrap/>
            <w:vAlign w:val="center"/>
            <w:hideMark/>
          </w:tcPr>
          <w:p w:rsidR="00AA0377" w:rsidRPr="00AA0377" w:rsidRDefault="00AA0377" w:rsidP="00AA0377">
            <w:pPr>
              <w:spacing w:after="0" w:line="240" w:lineRule="auto"/>
              <w:jc w:val="center"/>
              <w:rPr>
                <w:rFonts w:ascii="Times New Roman" w:eastAsia="Times New Roman" w:hAnsi="Times New Roman" w:cs="Times New Roman"/>
                <w:b/>
                <w:bCs/>
                <w:sz w:val="16"/>
                <w:szCs w:val="16"/>
                <w:lang w:eastAsia="ru-RU"/>
              </w:rPr>
            </w:pPr>
            <w:r w:rsidRPr="00AA0377">
              <w:rPr>
                <w:rFonts w:ascii="Times New Roman" w:eastAsia="Times New Roman" w:hAnsi="Times New Roman" w:cs="Times New Roman"/>
                <w:b/>
                <w:bCs/>
                <w:sz w:val="16"/>
                <w:szCs w:val="16"/>
                <w:lang w:eastAsia="ru-RU"/>
              </w:rPr>
              <w:t xml:space="preserve">    6,170,000   </w:t>
            </w:r>
          </w:p>
        </w:tc>
        <w:tc>
          <w:tcPr>
            <w:tcW w:w="1134" w:type="dxa"/>
            <w:tcBorders>
              <w:top w:val="nil"/>
              <w:left w:val="nil"/>
              <w:bottom w:val="single" w:sz="8" w:space="0" w:color="auto"/>
              <w:right w:val="single" w:sz="8" w:space="0" w:color="auto"/>
            </w:tcBorders>
            <w:shd w:val="clear" w:color="000000" w:fill="FFFFFF"/>
            <w:noWrap/>
            <w:vAlign w:val="center"/>
            <w:hideMark/>
          </w:tcPr>
          <w:p w:rsidR="00AA0377" w:rsidRPr="00AA0377" w:rsidRDefault="00AA0377" w:rsidP="00AA0377">
            <w:pPr>
              <w:spacing w:after="0" w:line="240" w:lineRule="auto"/>
              <w:jc w:val="center"/>
              <w:rPr>
                <w:rFonts w:ascii="Times New Roman" w:eastAsia="Times New Roman" w:hAnsi="Times New Roman" w:cs="Times New Roman"/>
                <w:b/>
                <w:bCs/>
                <w:sz w:val="16"/>
                <w:szCs w:val="16"/>
                <w:lang w:eastAsia="ru-RU"/>
              </w:rPr>
            </w:pPr>
            <w:r w:rsidRPr="00AA0377">
              <w:rPr>
                <w:rFonts w:ascii="Times New Roman" w:eastAsia="Times New Roman" w:hAnsi="Times New Roman" w:cs="Times New Roman"/>
                <w:b/>
                <w:bCs/>
                <w:sz w:val="16"/>
                <w:szCs w:val="16"/>
                <w:lang w:eastAsia="ru-RU"/>
              </w:rPr>
              <w:t xml:space="preserve">   15,170,000   </w:t>
            </w:r>
          </w:p>
        </w:tc>
      </w:tr>
    </w:tbl>
    <w:p w:rsidR="00AA0377" w:rsidRPr="00AA0377" w:rsidRDefault="00AA0377" w:rsidP="00AA0377">
      <w:pPr>
        <w:tabs>
          <w:tab w:val="left" w:pos="11051"/>
          <w:tab w:val="left" w:pos="11326"/>
          <w:tab w:val="left" w:pos="11601"/>
          <w:tab w:val="left" w:pos="11837"/>
          <w:tab w:val="left" w:pos="12073"/>
          <w:tab w:val="left" w:pos="13149"/>
          <w:tab w:val="left" w:pos="14385"/>
        </w:tabs>
        <w:spacing w:after="120" w:line="240" w:lineRule="auto"/>
        <w:ind w:left="93" w:firstLine="567"/>
        <w:jc w:val="both"/>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ab/>
      </w:r>
      <w:r w:rsidRPr="00AA0377">
        <w:rPr>
          <w:rFonts w:ascii="Times New Roman" w:eastAsia="Times New Roman" w:hAnsi="Times New Roman" w:cs="Times New Roman"/>
          <w:sz w:val="24"/>
          <w:szCs w:val="24"/>
          <w:lang w:val="en-US" w:eastAsia="ru-RU"/>
        </w:rPr>
        <w:tab/>
      </w:r>
      <w:r w:rsidRPr="00AA0377">
        <w:rPr>
          <w:rFonts w:ascii="Times New Roman" w:eastAsia="Times New Roman" w:hAnsi="Times New Roman" w:cs="Times New Roman"/>
          <w:sz w:val="24"/>
          <w:szCs w:val="24"/>
          <w:lang w:val="en-US" w:eastAsia="ru-RU"/>
        </w:rPr>
        <w:tab/>
      </w:r>
      <w:r w:rsidRPr="00AA0377">
        <w:rPr>
          <w:rFonts w:ascii="Times New Roman" w:eastAsia="Times New Roman" w:hAnsi="Times New Roman" w:cs="Times New Roman"/>
          <w:sz w:val="24"/>
          <w:szCs w:val="24"/>
          <w:lang w:val="en-US" w:eastAsia="ru-RU"/>
        </w:rPr>
        <w:tab/>
      </w:r>
      <w:r w:rsidRPr="00AA0377">
        <w:rPr>
          <w:rFonts w:ascii="Times New Roman" w:eastAsia="Times New Roman" w:hAnsi="Times New Roman" w:cs="Times New Roman"/>
          <w:sz w:val="24"/>
          <w:szCs w:val="24"/>
          <w:lang w:val="en-US" w:eastAsia="ru-RU"/>
        </w:rPr>
        <w:tab/>
      </w:r>
      <w:r w:rsidRPr="00AA0377">
        <w:rPr>
          <w:rFonts w:ascii="Times New Roman" w:eastAsia="Times New Roman" w:hAnsi="Times New Roman" w:cs="Times New Roman"/>
          <w:sz w:val="24"/>
          <w:szCs w:val="24"/>
          <w:lang w:val="en-US" w:eastAsia="ru-RU"/>
        </w:rPr>
        <w:tab/>
      </w:r>
      <w:r w:rsidRPr="00AA0377">
        <w:rPr>
          <w:rFonts w:ascii="Times New Roman" w:eastAsia="Times New Roman" w:hAnsi="Times New Roman" w:cs="Times New Roman"/>
          <w:sz w:val="24"/>
          <w:szCs w:val="24"/>
          <w:lang w:val="en-US" w:eastAsia="ru-RU"/>
        </w:rPr>
        <w:tab/>
      </w:r>
    </w:p>
    <w:p w:rsidR="00AA0377" w:rsidRPr="00AA0377" w:rsidRDefault="00AA0377" w:rsidP="00AA0377">
      <w:pPr>
        <w:tabs>
          <w:tab w:val="left" w:pos="11051"/>
          <w:tab w:val="left" w:pos="11326"/>
          <w:tab w:val="left" w:pos="11601"/>
          <w:tab w:val="left" w:pos="11837"/>
          <w:tab w:val="left" w:pos="12073"/>
          <w:tab w:val="left" w:pos="13149"/>
          <w:tab w:val="left" w:pos="14385"/>
        </w:tabs>
        <w:spacing w:after="120" w:line="240" w:lineRule="auto"/>
        <w:ind w:left="93" w:firstLine="567"/>
        <w:jc w:val="both"/>
        <w:rPr>
          <w:rFonts w:ascii="Times New Roman" w:eastAsia="Times New Roman" w:hAnsi="Times New Roman" w:cs="Times New Roman"/>
          <w:sz w:val="24"/>
          <w:szCs w:val="24"/>
          <w:lang w:val="en-US" w:eastAsia="ru-RU"/>
        </w:rPr>
      </w:pPr>
      <w:r w:rsidRPr="00AA0377">
        <w:rPr>
          <w:rFonts w:ascii="Times New Roman" w:eastAsia="Times New Roman" w:hAnsi="Times New Roman" w:cs="Times New Roman"/>
          <w:sz w:val="24"/>
          <w:szCs w:val="24"/>
          <w:lang w:val="en-US" w:eastAsia="ru-RU"/>
        </w:rPr>
        <w:tab/>
      </w:r>
      <w:r w:rsidRPr="00AA0377">
        <w:rPr>
          <w:rFonts w:ascii="Times New Roman" w:eastAsia="Times New Roman" w:hAnsi="Times New Roman" w:cs="Times New Roman"/>
          <w:sz w:val="24"/>
          <w:szCs w:val="24"/>
          <w:lang w:val="en-US" w:eastAsia="ru-RU"/>
        </w:rPr>
        <w:tab/>
      </w:r>
      <w:r w:rsidRPr="00AA0377">
        <w:rPr>
          <w:rFonts w:ascii="Times New Roman" w:eastAsia="Times New Roman" w:hAnsi="Times New Roman" w:cs="Times New Roman"/>
          <w:sz w:val="24"/>
          <w:szCs w:val="24"/>
          <w:lang w:val="en-US" w:eastAsia="ru-RU"/>
        </w:rPr>
        <w:tab/>
      </w:r>
      <w:r w:rsidRPr="00AA0377">
        <w:rPr>
          <w:rFonts w:ascii="Times New Roman" w:eastAsia="Times New Roman" w:hAnsi="Times New Roman" w:cs="Times New Roman"/>
          <w:sz w:val="24"/>
          <w:szCs w:val="24"/>
          <w:lang w:val="en-US" w:eastAsia="ru-RU"/>
        </w:rPr>
        <w:tab/>
      </w:r>
      <w:r w:rsidRPr="00AA0377">
        <w:rPr>
          <w:rFonts w:ascii="Times New Roman" w:eastAsia="Times New Roman" w:hAnsi="Times New Roman" w:cs="Times New Roman"/>
          <w:sz w:val="24"/>
          <w:szCs w:val="24"/>
          <w:lang w:val="en-US" w:eastAsia="ru-RU"/>
        </w:rPr>
        <w:tab/>
      </w:r>
      <w:r w:rsidRPr="00AA0377">
        <w:rPr>
          <w:rFonts w:ascii="Times New Roman" w:eastAsia="Times New Roman" w:hAnsi="Times New Roman" w:cs="Times New Roman"/>
          <w:sz w:val="24"/>
          <w:szCs w:val="24"/>
          <w:lang w:val="en-US" w:eastAsia="ru-RU"/>
        </w:rPr>
        <w:tab/>
      </w:r>
      <w:r w:rsidRPr="00AA0377">
        <w:rPr>
          <w:rFonts w:ascii="Times New Roman" w:eastAsia="Times New Roman" w:hAnsi="Times New Roman" w:cs="Times New Roman"/>
          <w:sz w:val="24"/>
          <w:szCs w:val="24"/>
          <w:lang w:val="en-US" w:eastAsia="ru-RU"/>
        </w:rPr>
        <w:tab/>
      </w:r>
    </w:p>
    <w:p w:rsidR="00AA0377" w:rsidRPr="00AA0377" w:rsidRDefault="00AA0377" w:rsidP="00AA0377">
      <w:pPr>
        <w:widowControl w:val="0"/>
        <w:tabs>
          <w:tab w:val="left" w:pos="8820"/>
        </w:tabs>
        <w:overflowPunct w:val="0"/>
        <w:autoSpaceDE w:val="0"/>
        <w:autoSpaceDN w:val="0"/>
        <w:adjustRightInd w:val="0"/>
        <w:spacing w:before="100" w:after="120" w:line="240" w:lineRule="auto"/>
        <w:jc w:val="center"/>
        <w:textAlignment w:val="baseline"/>
        <w:rPr>
          <w:rFonts w:ascii="Times New Roman" w:eastAsia="Times New Roman" w:hAnsi="Times New Roman" w:cs="Times New Roman"/>
          <w:b/>
          <w:sz w:val="24"/>
          <w:szCs w:val="24"/>
          <w:lang w:val="en-US" w:eastAsia="ru-RU"/>
        </w:rPr>
      </w:pPr>
    </w:p>
    <w:p w:rsidR="00AA0377" w:rsidRDefault="00AA0377" w:rsidP="0075306F">
      <w:pPr>
        <w:keepNext/>
        <w:widowControl w:val="0"/>
        <w:overflowPunct w:val="0"/>
        <w:autoSpaceDE w:val="0"/>
        <w:autoSpaceDN w:val="0"/>
        <w:adjustRightInd w:val="0"/>
        <w:spacing w:before="100" w:after="120" w:line="240" w:lineRule="auto"/>
        <w:jc w:val="center"/>
        <w:textAlignment w:val="baseline"/>
        <w:outlineLvl w:val="0"/>
        <w:rPr>
          <w:rFonts w:ascii="Times New Roman" w:eastAsia="Times New Roman" w:hAnsi="Times New Roman" w:cs="Times New Roman"/>
          <w:b/>
          <w:bCs/>
          <w:kern w:val="32"/>
          <w:sz w:val="28"/>
          <w:szCs w:val="28"/>
          <w:lang w:val="en-US" w:eastAsia="ru-RU"/>
        </w:rPr>
      </w:pPr>
    </w:p>
    <w:p w:rsidR="003F6853" w:rsidRPr="003F6853" w:rsidRDefault="003F6853" w:rsidP="003F6853">
      <w:pPr>
        <w:keepNext/>
        <w:widowControl w:val="0"/>
        <w:overflowPunct w:val="0"/>
        <w:autoSpaceDE w:val="0"/>
        <w:autoSpaceDN w:val="0"/>
        <w:adjustRightInd w:val="0"/>
        <w:spacing w:before="100" w:after="120" w:line="240" w:lineRule="auto"/>
        <w:jc w:val="center"/>
        <w:textAlignment w:val="baseline"/>
        <w:outlineLvl w:val="0"/>
        <w:rPr>
          <w:rFonts w:ascii="Times New Roman" w:eastAsia="Times New Roman" w:hAnsi="Times New Roman" w:cs="Times New Roman"/>
          <w:b/>
          <w:bCs/>
          <w:kern w:val="32"/>
          <w:sz w:val="28"/>
          <w:szCs w:val="28"/>
          <w:lang w:val="en-US" w:eastAsia="ru-RU"/>
        </w:rPr>
      </w:pPr>
      <w:r w:rsidRPr="003F6853">
        <w:rPr>
          <w:rFonts w:ascii="Times New Roman" w:eastAsia="Times New Roman" w:hAnsi="Times New Roman" w:cs="Times New Roman"/>
          <w:b/>
          <w:bCs/>
          <w:kern w:val="32"/>
          <w:sz w:val="28"/>
          <w:szCs w:val="28"/>
          <w:lang w:val="en-US" w:eastAsia="ru-RU"/>
        </w:rPr>
        <w:t>10.</w:t>
      </w:r>
      <w:r w:rsidR="00FB2750">
        <w:rPr>
          <w:rFonts w:ascii="Times New Roman" w:eastAsia="Times New Roman" w:hAnsi="Times New Roman" w:cs="Times New Roman"/>
          <w:b/>
          <w:bCs/>
          <w:kern w:val="32"/>
          <w:sz w:val="28"/>
          <w:szCs w:val="28"/>
          <w:lang w:val="en-US" w:eastAsia="ru-RU"/>
        </w:rPr>
        <w:t xml:space="preserve"> </w:t>
      </w:r>
      <w:r w:rsidRPr="003F6853">
        <w:rPr>
          <w:rFonts w:ascii="Times New Roman" w:eastAsia="Times New Roman" w:hAnsi="Times New Roman" w:cs="Times New Roman"/>
          <w:b/>
          <w:bCs/>
          <w:kern w:val="32"/>
          <w:sz w:val="28"/>
          <w:szCs w:val="28"/>
          <w:lang w:val="en-US" w:eastAsia="ru-RU"/>
        </w:rPr>
        <w:t>Code of Corporate Conduct</w:t>
      </w:r>
      <w:r w:rsidR="00FB2750" w:rsidRPr="00FB2750">
        <w:rPr>
          <w:rFonts w:ascii="Times New Roman" w:eastAsia="Times New Roman" w:hAnsi="Times New Roman" w:cs="Times New Roman"/>
          <w:b/>
          <w:bCs/>
          <w:kern w:val="32"/>
          <w:sz w:val="28"/>
          <w:szCs w:val="28"/>
          <w:lang w:val="en-US" w:eastAsia="ru-RU"/>
        </w:rPr>
        <w:t xml:space="preserve"> </w:t>
      </w:r>
      <w:r w:rsidR="00FB2750" w:rsidRPr="003F6853">
        <w:rPr>
          <w:rFonts w:ascii="Times New Roman" w:eastAsia="Times New Roman" w:hAnsi="Times New Roman" w:cs="Times New Roman"/>
          <w:b/>
          <w:bCs/>
          <w:kern w:val="32"/>
          <w:sz w:val="28"/>
          <w:szCs w:val="28"/>
          <w:lang w:val="en-US" w:eastAsia="ru-RU"/>
        </w:rPr>
        <w:t>Observance</w:t>
      </w:r>
    </w:p>
    <w:p w:rsidR="003F6853" w:rsidRPr="003F6853" w:rsidRDefault="003F6853" w:rsidP="003F6853">
      <w:pPr>
        <w:widowControl w:val="0"/>
        <w:tabs>
          <w:tab w:val="left" w:pos="8820"/>
        </w:tabs>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b/>
          <w:sz w:val="24"/>
          <w:szCs w:val="24"/>
          <w:lang w:val="en-US" w:eastAsia="ru-RU"/>
        </w:rPr>
      </w:pPr>
    </w:p>
    <w:p w:rsidR="003F6853" w:rsidRPr="003F6853" w:rsidRDefault="003F6853" w:rsidP="003F6853">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r w:rsidRPr="003F6853">
        <w:rPr>
          <w:rFonts w:ascii="Times New Roman" w:eastAsia="Times New Roman" w:hAnsi="Times New Roman" w:cs="Times New Roman"/>
          <w:sz w:val="24"/>
          <w:szCs w:val="24"/>
          <w:lang w:val="en-US" w:eastAsia="ru-RU"/>
        </w:rPr>
        <w:t xml:space="preserve">In the reporting period, the NCC has paid great attention to improving </w:t>
      </w:r>
      <w:r w:rsidR="00191846">
        <w:rPr>
          <w:rFonts w:ascii="Times New Roman" w:eastAsia="Times New Roman" w:hAnsi="Times New Roman" w:cs="Times New Roman"/>
          <w:sz w:val="24"/>
          <w:szCs w:val="24"/>
          <w:lang w:val="en-US" w:eastAsia="ru-RU"/>
        </w:rPr>
        <w:t xml:space="preserve">of </w:t>
      </w:r>
      <w:r w:rsidRPr="003F6853">
        <w:rPr>
          <w:rFonts w:ascii="Times New Roman" w:eastAsia="Times New Roman" w:hAnsi="Times New Roman" w:cs="Times New Roman"/>
          <w:sz w:val="24"/>
          <w:szCs w:val="24"/>
          <w:lang w:val="en-US" w:eastAsia="ru-RU"/>
        </w:rPr>
        <w:t xml:space="preserve">the </w:t>
      </w:r>
      <w:r w:rsidR="00191846" w:rsidRPr="003F6853">
        <w:rPr>
          <w:rFonts w:ascii="Times New Roman" w:eastAsia="Times New Roman" w:hAnsi="Times New Roman" w:cs="Times New Roman"/>
          <w:sz w:val="24"/>
          <w:szCs w:val="24"/>
          <w:lang w:val="en-US" w:eastAsia="ru-RU"/>
        </w:rPr>
        <w:t xml:space="preserve">corporate governance </w:t>
      </w:r>
      <w:r w:rsidRPr="003F6853">
        <w:rPr>
          <w:rFonts w:ascii="Times New Roman" w:eastAsia="Times New Roman" w:hAnsi="Times New Roman" w:cs="Times New Roman"/>
          <w:sz w:val="24"/>
          <w:szCs w:val="24"/>
          <w:lang w:val="en-US" w:eastAsia="ru-RU"/>
        </w:rPr>
        <w:t>level, considering it as one of the most important tools for the achievement of the Bank's strategic objectives.</w:t>
      </w:r>
    </w:p>
    <w:p w:rsidR="003F6853" w:rsidRPr="003F6853" w:rsidRDefault="00191846" w:rsidP="003F6853">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In this activity</w:t>
      </w:r>
      <w:r w:rsidR="003F6853" w:rsidRPr="003F6853">
        <w:rPr>
          <w:rFonts w:ascii="Times New Roman" w:eastAsia="Times New Roman" w:hAnsi="Times New Roman" w:cs="Times New Roman"/>
          <w:sz w:val="24"/>
          <w:szCs w:val="24"/>
          <w:lang w:val="en-US" w:eastAsia="ru-RU"/>
        </w:rPr>
        <w:t xml:space="preserve"> NCC is committed to follow the best practices and standards of corporate governance, aware that the positive dynamics in this sector is a prerequisite </w:t>
      </w:r>
      <w:r>
        <w:rPr>
          <w:rFonts w:ascii="Times New Roman" w:eastAsia="Times New Roman" w:hAnsi="Times New Roman" w:cs="Times New Roman"/>
          <w:sz w:val="24"/>
          <w:szCs w:val="24"/>
          <w:lang w:val="en-US" w:eastAsia="ru-RU"/>
        </w:rPr>
        <w:t>to</w:t>
      </w:r>
      <w:r w:rsidR="003F6853" w:rsidRPr="003F6853">
        <w:rPr>
          <w:rFonts w:ascii="Times New Roman" w:eastAsia="Times New Roman" w:hAnsi="Times New Roman" w:cs="Times New Roman"/>
          <w:sz w:val="24"/>
          <w:szCs w:val="24"/>
          <w:lang w:val="en-US" w:eastAsia="ru-RU"/>
        </w:rPr>
        <w:t xml:space="preserve"> achiev</w:t>
      </w:r>
      <w:r>
        <w:rPr>
          <w:rFonts w:ascii="Times New Roman" w:eastAsia="Times New Roman" w:hAnsi="Times New Roman" w:cs="Times New Roman"/>
          <w:sz w:val="24"/>
          <w:szCs w:val="24"/>
          <w:lang w:val="en-US" w:eastAsia="ru-RU"/>
        </w:rPr>
        <w:t>e</w:t>
      </w:r>
      <w:r w:rsidR="003F6853" w:rsidRPr="003F6853">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a </w:t>
      </w:r>
      <w:r w:rsidR="003F6853" w:rsidRPr="003F6853">
        <w:rPr>
          <w:rFonts w:ascii="Times New Roman" w:eastAsia="Times New Roman" w:hAnsi="Times New Roman" w:cs="Times New Roman"/>
          <w:sz w:val="24"/>
          <w:szCs w:val="24"/>
          <w:lang w:val="en-US" w:eastAsia="ru-RU"/>
        </w:rPr>
        <w:t>success in the financial and economic activity,</w:t>
      </w:r>
      <w:r>
        <w:rPr>
          <w:rFonts w:ascii="Times New Roman" w:eastAsia="Times New Roman" w:hAnsi="Times New Roman" w:cs="Times New Roman"/>
          <w:sz w:val="24"/>
          <w:szCs w:val="24"/>
          <w:lang w:val="en-US" w:eastAsia="ru-RU"/>
        </w:rPr>
        <w:t xml:space="preserve"> to</w:t>
      </w:r>
      <w:r w:rsidR="003F6853" w:rsidRPr="003F6853">
        <w:rPr>
          <w:rFonts w:ascii="Times New Roman" w:eastAsia="Times New Roman" w:hAnsi="Times New Roman" w:cs="Times New Roman"/>
          <w:sz w:val="24"/>
          <w:szCs w:val="24"/>
          <w:lang w:val="en-US" w:eastAsia="ru-RU"/>
        </w:rPr>
        <w:t xml:space="preserve"> support the implementation of new projects</w:t>
      </w:r>
      <w:r w:rsidR="00970843">
        <w:rPr>
          <w:rFonts w:ascii="Times New Roman" w:eastAsia="Times New Roman" w:hAnsi="Times New Roman" w:cs="Times New Roman"/>
          <w:sz w:val="24"/>
          <w:szCs w:val="24"/>
          <w:lang w:val="en-US" w:eastAsia="ru-RU"/>
        </w:rPr>
        <w:t xml:space="preserve"> </w:t>
      </w:r>
      <w:proofErr w:type="gramStart"/>
      <w:r w:rsidR="003F6853" w:rsidRPr="003F6853">
        <w:rPr>
          <w:rFonts w:ascii="Times New Roman" w:eastAsia="Times New Roman" w:hAnsi="Times New Roman" w:cs="Times New Roman"/>
          <w:sz w:val="24"/>
          <w:szCs w:val="24"/>
          <w:lang w:val="en-US" w:eastAsia="ru-RU"/>
        </w:rPr>
        <w:t xml:space="preserve">and </w:t>
      </w:r>
      <w:r>
        <w:rPr>
          <w:rFonts w:ascii="Times New Roman" w:eastAsia="Times New Roman" w:hAnsi="Times New Roman" w:cs="Times New Roman"/>
          <w:sz w:val="24"/>
          <w:szCs w:val="24"/>
          <w:lang w:val="en-US" w:eastAsia="ru-RU"/>
        </w:rPr>
        <w:t xml:space="preserve"> </w:t>
      </w:r>
      <w:r w:rsidR="00970843">
        <w:rPr>
          <w:rFonts w:ascii="Times New Roman" w:eastAsia="Times New Roman" w:hAnsi="Times New Roman" w:cs="Times New Roman"/>
          <w:sz w:val="24"/>
          <w:szCs w:val="24"/>
          <w:lang w:val="en-US" w:eastAsia="ru-RU"/>
        </w:rPr>
        <w:t>to</w:t>
      </w:r>
      <w:proofErr w:type="gramEnd"/>
      <w:r w:rsidR="00970843">
        <w:rPr>
          <w:rFonts w:ascii="Times New Roman" w:eastAsia="Times New Roman" w:hAnsi="Times New Roman" w:cs="Times New Roman"/>
          <w:sz w:val="24"/>
          <w:szCs w:val="24"/>
          <w:lang w:val="en-US" w:eastAsia="ru-RU"/>
        </w:rPr>
        <w:t xml:space="preserve"> </w:t>
      </w:r>
      <w:r w:rsidR="003F6853" w:rsidRPr="003F6853">
        <w:rPr>
          <w:rFonts w:ascii="Times New Roman" w:eastAsia="Times New Roman" w:hAnsi="Times New Roman" w:cs="Times New Roman"/>
          <w:sz w:val="24"/>
          <w:szCs w:val="24"/>
          <w:lang w:val="en-US" w:eastAsia="ru-RU"/>
        </w:rPr>
        <w:t>develop</w:t>
      </w:r>
      <w:r>
        <w:rPr>
          <w:rFonts w:ascii="Times New Roman" w:eastAsia="Times New Roman" w:hAnsi="Times New Roman" w:cs="Times New Roman"/>
          <w:sz w:val="24"/>
          <w:szCs w:val="24"/>
          <w:lang w:val="en-US" w:eastAsia="ru-RU"/>
        </w:rPr>
        <w:t xml:space="preserve"> </w:t>
      </w:r>
      <w:r w:rsidR="003F6853" w:rsidRPr="003F6853">
        <w:rPr>
          <w:rFonts w:ascii="Times New Roman" w:eastAsia="Times New Roman" w:hAnsi="Times New Roman" w:cs="Times New Roman"/>
          <w:sz w:val="24"/>
          <w:szCs w:val="24"/>
          <w:lang w:val="en-US" w:eastAsia="ru-RU"/>
        </w:rPr>
        <w:t xml:space="preserve"> the Bank as a whole.</w:t>
      </w:r>
    </w:p>
    <w:p w:rsidR="003F6853" w:rsidRPr="003F6853" w:rsidRDefault="003F6853" w:rsidP="003F6853">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r w:rsidRPr="003F6853">
        <w:rPr>
          <w:rFonts w:ascii="Times New Roman" w:eastAsia="Times New Roman" w:hAnsi="Times New Roman" w:cs="Times New Roman"/>
          <w:sz w:val="24"/>
          <w:szCs w:val="24"/>
          <w:lang w:val="en-US" w:eastAsia="ru-RU"/>
        </w:rPr>
        <w:t>Measures for the development of the corporate governance system of NCC were based on the recommendations of the Corporate Code of Conduct approved by the RF Government Session at 28 November 2001 (FCSM of Russia from 04 April 2002 No. 421/r), the Bank of Russia Recommendations and the Basel Committee on Banking Supervision, on corporate governance principles recognized in international practice, as well as on developed by the Organization for Economic Cooperation and Development (OECD), the European Association of Clearing Houses-Central Counterparties (EACH) and other recognized standards.</w:t>
      </w:r>
    </w:p>
    <w:p w:rsidR="003F6853" w:rsidRPr="003F6853" w:rsidRDefault="00191846" w:rsidP="003F6853">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c</w:t>
      </w:r>
      <w:r w:rsidR="003F6853" w:rsidRPr="003F6853">
        <w:rPr>
          <w:rFonts w:ascii="Times New Roman" w:eastAsia="Times New Roman" w:hAnsi="Times New Roman" w:cs="Times New Roman"/>
          <w:sz w:val="24"/>
          <w:szCs w:val="24"/>
          <w:lang w:val="en-US" w:eastAsia="ru-RU"/>
        </w:rPr>
        <w:t>orporate governance of NCC is a set of mechanisms and corporate procedures, maintaining a reasonable balance between shareholder rights and actions of the Supervisory Board, Executive bodies in the Bank management process.</w:t>
      </w:r>
    </w:p>
    <w:p w:rsidR="003F6853" w:rsidRPr="003F6853" w:rsidRDefault="00330ECB" w:rsidP="003F6853">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The corporate conduct in </w:t>
      </w:r>
      <w:r w:rsidR="003F6853" w:rsidRPr="003F6853">
        <w:rPr>
          <w:rFonts w:ascii="Times New Roman" w:eastAsia="Times New Roman" w:hAnsi="Times New Roman" w:cs="Times New Roman"/>
          <w:sz w:val="24"/>
          <w:szCs w:val="24"/>
          <w:lang w:val="en-US" w:eastAsia="ru-RU"/>
        </w:rPr>
        <w:t>NCC</w:t>
      </w:r>
      <w:r>
        <w:rPr>
          <w:rFonts w:ascii="Times New Roman" w:eastAsia="Times New Roman" w:hAnsi="Times New Roman" w:cs="Times New Roman"/>
          <w:sz w:val="24"/>
          <w:szCs w:val="24"/>
          <w:lang w:val="en-US" w:eastAsia="ru-RU"/>
        </w:rPr>
        <w:t xml:space="preserve"> is</w:t>
      </w:r>
      <w:r w:rsidR="003F6853" w:rsidRPr="003F6853">
        <w:rPr>
          <w:rFonts w:ascii="Times New Roman" w:eastAsia="Times New Roman" w:hAnsi="Times New Roman" w:cs="Times New Roman"/>
          <w:sz w:val="24"/>
          <w:szCs w:val="24"/>
          <w:lang w:val="en-US" w:eastAsia="ru-RU"/>
        </w:rPr>
        <w:t xml:space="preserve"> based on</w:t>
      </w:r>
      <w:r>
        <w:rPr>
          <w:rFonts w:ascii="Times New Roman" w:eastAsia="Times New Roman" w:hAnsi="Times New Roman" w:cs="Times New Roman"/>
          <w:sz w:val="24"/>
          <w:szCs w:val="24"/>
          <w:lang w:val="en-US" w:eastAsia="ru-RU"/>
        </w:rPr>
        <w:t xml:space="preserve"> the</w:t>
      </w:r>
      <w:r w:rsidR="003F6853" w:rsidRPr="003F6853">
        <w:rPr>
          <w:rFonts w:ascii="Times New Roman" w:eastAsia="Times New Roman" w:hAnsi="Times New Roman" w:cs="Times New Roman"/>
          <w:sz w:val="24"/>
          <w:szCs w:val="24"/>
          <w:lang w:val="en-US" w:eastAsia="ru-RU"/>
        </w:rPr>
        <w:t xml:space="preserve"> respect of rights and legitimate interests of the shareholders and promotes effective activities, including the increase in the value of assets and maintenance of financial stability and profitability.</w:t>
      </w:r>
    </w:p>
    <w:p w:rsidR="003F6853" w:rsidRPr="003F6853" w:rsidRDefault="003F6853" w:rsidP="003F6853">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r w:rsidRPr="003F6853">
        <w:rPr>
          <w:rFonts w:ascii="Times New Roman" w:eastAsia="Times New Roman" w:hAnsi="Times New Roman" w:cs="Times New Roman"/>
          <w:sz w:val="24"/>
          <w:szCs w:val="24"/>
          <w:lang w:val="en-US" w:eastAsia="ru-RU"/>
        </w:rPr>
        <w:t>NCC adheres to the following basic principles of the Code of corporate conduct:</w:t>
      </w:r>
    </w:p>
    <w:p w:rsidR="003F6853" w:rsidRPr="003F6853" w:rsidRDefault="003F6853" w:rsidP="00472CA4">
      <w:pPr>
        <w:widowControl w:val="0"/>
        <w:numPr>
          <w:ilvl w:val="0"/>
          <w:numId w:val="32"/>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en-US" w:eastAsia="ru-RU"/>
        </w:rPr>
      </w:pPr>
      <w:r w:rsidRPr="003F6853">
        <w:rPr>
          <w:rFonts w:ascii="Times New Roman" w:eastAsia="Times New Roman" w:hAnsi="Times New Roman" w:cs="Times New Roman"/>
          <w:sz w:val="24"/>
          <w:szCs w:val="24"/>
          <w:lang w:val="en-US" w:eastAsia="ru-RU"/>
        </w:rPr>
        <w:t>Practice of corporate conduct provides to</w:t>
      </w:r>
      <w:r w:rsidR="002735E4">
        <w:rPr>
          <w:rFonts w:ascii="Times New Roman" w:eastAsia="Times New Roman" w:hAnsi="Times New Roman" w:cs="Times New Roman"/>
          <w:sz w:val="24"/>
          <w:szCs w:val="24"/>
          <w:lang w:val="en-US" w:eastAsia="ru-RU"/>
        </w:rPr>
        <w:t xml:space="preserve"> a</w:t>
      </w:r>
      <w:r w:rsidRPr="003F6853">
        <w:rPr>
          <w:rFonts w:ascii="Times New Roman" w:eastAsia="Times New Roman" w:hAnsi="Times New Roman" w:cs="Times New Roman"/>
          <w:sz w:val="24"/>
          <w:szCs w:val="24"/>
          <w:lang w:val="en-US" w:eastAsia="ru-RU"/>
        </w:rPr>
        <w:t xml:space="preserve"> shareholder a real opportunity to exercise </w:t>
      </w:r>
      <w:r w:rsidR="002735E4">
        <w:rPr>
          <w:rFonts w:ascii="Times New Roman" w:eastAsia="Times New Roman" w:hAnsi="Times New Roman" w:cs="Times New Roman"/>
          <w:sz w:val="24"/>
          <w:szCs w:val="24"/>
          <w:lang w:val="en-US" w:eastAsia="ru-RU"/>
        </w:rPr>
        <w:t>his\her</w:t>
      </w:r>
      <w:r w:rsidRPr="003F6853">
        <w:rPr>
          <w:rFonts w:ascii="Times New Roman" w:eastAsia="Times New Roman" w:hAnsi="Times New Roman" w:cs="Times New Roman"/>
          <w:sz w:val="24"/>
          <w:szCs w:val="24"/>
          <w:lang w:val="en-US" w:eastAsia="ru-RU"/>
        </w:rPr>
        <w:t xml:space="preserve"> rights </w:t>
      </w:r>
      <w:r w:rsidR="002735E4">
        <w:rPr>
          <w:rFonts w:ascii="Times New Roman" w:eastAsia="Times New Roman" w:hAnsi="Times New Roman" w:cs="Times New Roman"/>
          <w:sz w:val="24"/>
          <w:szCs w:val="24"/>
          <w:lang w:val="en-US" w:eastAsia="ru-RU"/>
        </w:rPr>
        <w:t>related with  the</w:t>
      </w:r>
      <w:r w:rsidRPr="003F6853">
        <w:rPr>
          <w:rFonts w:ascii="Times New Roman" w:eastAsia="Times New Roman" w:hAnsi="Times New Roman" w:cs="Times New Roman"/>
          <w:sz w:val="24"/>
          <w:szCs w:val="24"/>
          <w:lang w:val="en-US" w:eastAsia="ru-RU"/>
        </w:rPr>
        <w:t xml:space="preserve"> participation in  NCC;</w:t>
      </w:r>
    </w:p>
    <w:p w:rsidR="003F6853" w:rsidRPr="003F6853" w:rsidRDefault="003F6853" w:rsidP="00472CA4">
      <w:pPr>
        <w:widowControl w:val="0"/>
        <w:numPr>
          <w:ilvl w:val="0"/>
          <w:numId w:val="32"/>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en-US" w:eastAsia="ru-RU"/>
        </w:rPr>
      </w:pPr>
      <w:r w:rsidRPr="003F6853">
        <w:rPr>
          <w:rFonts w:ascii="Times New Roman" w:eastAsia="Times New Roman" w:hAnsi="Times New Roman" w:cs="Times New Roman"/>
          <w:sz w:val="24"/>
          <w:szCs w:val="24"/>
          <w:lang w:val="en-US" w:eastAsia="ru-RU"/>
        </w:rPr>
        <w:t xml:space="preserve">Shareholder of NCC </w:t>
      </w:r>
      <w:r w:rsidR="002735E4">
        <w:rPr>
          <w:rFonts w:ascii="Times New Roman" w:eastAsia="Times New Roman" w:hAnsi="Times New Roman" w:cs="Times New Roman"/>
          <w:sz w:val="24"/>
          <w:szCs w:val="24"/>
          <w:lang w:val="en-US" w:eastAsia="ru-RU"/>
        </w:rPr>
        <w:t>is</w:t>
      </w:r>
      <w:r w:rsidRPr="003F6853">
        <w:rPr>
          <w:rFonts w:ascii="Times New Roman" w:eastAsia="Times New Roman" w:hAnsi="Times New Roman" w:cs="Times New Roman"/>
          <w:sz w:val="24"/>
          <w:szCs w:val="24"/>
          <w:lang w:val="en-US" w:eastAsia="ru-RU"/>
        </w:rPr>
        <w:t xml:space="preserve"> provided by reliable and effective means of registering ownership of shares, and the ability to freely and quickly dispose of </w:t>
      </w:r>
      <w:r w:rsidR="002735E4">
        <w:rPr>
          <w:rFonts w:ascii="Times New Roman" w:eastAsia="Times New Roman" w:hAnsi="Times New Roman" w:cs="Times New Roman"/>
          <w:sz w:val="24"/>
          <w:szCs w:val="24"/>
          <w:lang w:val="en-US" w:eastAsia="ru-RU"/>
        </w:rPr>
        <w:t>his\her</w:t>
      </w:r>
      <w:r w:rsidRPr="003F6853">
        <w:rPr>
          <w:rFonts w:ascii="Times New Roman" w:eastAsia="Times New Roman" w:hAnsi="Times New Roman" w:cs="Times New Roman"/>
          <w:sz w:val="24"/>
          <w:szCs w:val="24"/>
          <w:lang w:val="en-US" w:eastAsia="ru-RU"/>
        </w:rPr>
        <w:t xml:space="preserve"> shares;</w:t>
      </w:r>
    </w:p>
    <w:p w:rsidR="003F6853" w:rsidRPr="003F6853" w:rsidRDefault="003F6853" w:rsidP="00472CA4">
      <w:pPr>
        <w:widowControl w:val="0"/>
        <w:numPr>
          <w:ilvl w:val="0"/>
          <w:numId w:val="32"/>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en-US" w:eastAsia="ru-RU"/>
        </w:rPr>
      </w:pPr>
      <w:r w:rsidRPr="003F6853">
        <w:rPr>
          <w:rFonts w:ascii="Times New Roman" w:eastAsia="Times New Roman" w:hAnsi="Times New Roman" w:cs="Times New Roman"/>
          <w:sz w:val="24"/>
          <w:szCs w:val="24"/>
          <w:lang w:val="en-US" w:eastAsia="ru-RU"/>
        </w:rPr>
        <w:t xml:space="preserve">Shareholder </w:t>
      </w:r>
      <w:r w:rsidR="002735E4">
        <w:rPr>
          <w:rFonts w:ascii="Times New Roman" w:eastAsia="Times New Roman" w:hAnsi="Times New Roman" w:cs="Times New Roman"/>
          <w:sz w:val="24"/>
          <w:szCs w:val="24"/>
          <w:lang w:val="en-US" w:eastAsia="ru-RU"/>
        </w:rPr>
        <w:t>has</w:t>
      </w:r>
      <w:r w:rsidRPr="003F6853">
        <w:rPr>
          <w:rFonts w:ascii="Times New Roman" w:eastAsia="Times New Roman" w:hAnsi="Times New Roman" w:cs="Times New Roman"/>
          <w:sz w:val="24"/>
          <w:szCs w:val="24"/>
          <w:lang w:val="en-US" w:eastAsia="ru-RU"/>
        </w:rPr>
        <w:t xml:space="preserve"> the opportunity to participate in the management of the Bank by making decisions on the most important issues of the General Shareholders Meeting;</w:t>
      </w:r>
    </w:p>
    <w:p w:rsidR="003F6853" w:rsidRPr="003F6853" w:rsidRDefault="003F6853" w:rsidP="00472CA4">
      <w:pPr>
        <w:widowControl w:val="0"/>
        <w:numPr>
          <w:ilvl w:val="0"/>
          <w:numId w:val="32"/>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en-US" w:eastAsia="ru-RU"/>
        </w:rPr>
      </w:pPr>
      <w:r w:rsidRPr="003F6853">
        <w:rPr>
          <w:rFonts w:ascii="Times New Roman" w:eastAsia="Times New Roman" w:hAnsi="Times New Roman" w:cs="Times New Roman"/>
          <w:sz w:val="24"/>
          <w:szCs w:val="24"/>
          <w:lang w:val="en-US" w:eastAsia="ru-RU"/>
        </w:rPr>
        <w:t>Shareholder ha</w:t>
      </w:r>
      <w:r w:rsidR="002735E4">
        <w:rPr>
          <w:rFonts w:ascii="Times New Roman" w:eastAsia="Times New Roman" w:hAnsi="Times New Roman" w:cs="Times New Roman"/>
          <w:sz w:val="24"/>
          <w:szCs w:val="24"/>
          <w:lang w:val="en-US" w:eastAsia="ru-RU"/>
        </w:rPr>
        <w:t>s</w:t>
      </w:r>
      <w:r w:rsidRPr="003F6853">
        <w:rPr>
          <w:rFonts w:ascii="Times New Roman" w:eastAsia="Times New Roman" w:hAnsi="Times New Roman" w:cs="Times New Roman"/>
          <w:sz w:val="24"/>
          <w:szCs w:val="24"/>
          <w:lang w:val="en-US" w:eastAsia="ru-RU"/>
        </w:rPr>
        <w:t xml:space="preserve"> the opportunity to receive regular and timely complete an</w:t>
      </w:r>
      <w:r w:rsidR="00330ECB">
        <w:rPr>
          <w:rFonts w:ascii="Times New Roman" w:eastAsia="Times New Roman" w:hAnsi="Times New Roman" w:cs="Times New Roman"/>
          <w:sz w:val="24"/>
          <w:szCs w:val="24"/>
          <w:lang w:val="en-US" w:eastAsia="ru-RU"/>
        </w:rPr>
        <w:t>d accurate information about</w:t>
      </w:r>
      <w:r w:rsidRPr="003F6853">
        <w:rPr>
          <w:rFonts w:ascii="Times New Roman" w:eastAsia="Times New Roman" w:hAnsi="Times New Roman" w:cs="Times New Roman"/>
          <w:sz w:val="24"/>
          <w:szCs w:val="24"/>
          <w:lang w:val="en-US" w:eastAsia="ru-RU"/>
        </w:rPr>
        <w:t xml:space="preserve"> NCC, including its financial position, results of operations, as well as the essential facts relating to the financial and economic activity.</w:t>
      </w:r>
    </w:p>
    <w:p w:rsidR="003F6853" w:rsidRPr="003F6853" w:rsidRDefault="003F6853" w:rsidP="003F6853">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r w:rsidRPr="003F6853">
        <w:rPr>
          <w:rFonts w:ascii="Times New Roman" w:eastAsia="Times New Roman" w:hAnsi="Times New Roman" w:cs="Times New Roman"/>
          <w:sz w:val="24"/>
          <w:szCs w:val="24"/>
          <w:lang w:val="en-US" w:eastAsia="ru-RU"/>
        </w:rPr>
        <w:t>NCC Shareholder has access to information in accordance with the current legislation of the Russian Federation.</w:t>
      </w:r>
    </w:p>
    <w:p w:rsidR="003F6853" w:rsidRPr="003F6853" w:rsidRDefault="003F6853" w:rsidP="003F6853">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r w:rsidRPr="003F6853">
        <w:rPr>
          <w:rFonts w:ascii="Times New Roman" w:eastAsia="Times New Roman" w:hAnsi="Times New Roman" w:cs="Times New Roman"/>
          <w:sz w:val="24"/>
          <w:szCs w:val="24"/>
          <w:lang w:val="en-US" w:eastAsia="ru-RU"/>
        </w:rPr>
        <w:t xml:space="preserve">The practice of the Supervisory Board </w:t>
      </w:r>
      <w:r w:rsidR="00FA3523">
        <w:rPr>
          <w:rFonts w:ascii="Times New Roman" w:eastAsia="Times New Roman" w:hAnsi="Times New Roman" w:cs="Times New Roman"/>
          <w:sz w:val="24"/>
          <w:szCs w:val="24"/>
          <w:lang w:val="en-US" w:eastAsia="ru-RU"/>
        </w:rPr>
        <w:t>activity demonstrates</w:t>
      </w:r>
      <w:r w:rsidRPr="003F6853">
        <w:rPr>
          <w:rFonts w:ascii="Times New Roman" w:eastAsia="Times New Roman" w:hAnsi="Times New Roman" w:cs="Times New Roman"/>
          <w:sz w:val="24"/>
          <w:szCs w:val="24"/>
          <w:lang w:val="en-US" w:eastAsia="ru-RU"/>
        </w:rPr>
        <w:t xml:space="preserve"> a high level of involvement of its members in</w:t>
      </w:r>
      <w:r w:rsidR="00330ECB">
        <w:rPr>
          <w:rFonts w:ascii="Times New Roman" w:eastAsia="Times New Roman" w:hAnsi="Times New Roman" w:cs="Times New Roman"/>
          <w:sz w:val="24"/>
          <w:szCs w:val="24"/>
          <w:lang w:val="en-US" w:eastAsia="ru-RU"/>
        </w:rPr>
        <w:t xml:space="preserve"> the strategic management </w:t>
      </w:r>
      <w:proofErr w:type="gramStart"/>
      <w:r w:rsidR="00330ECB">
        <w:rPr>
          <w:rFonts w:ascii="Times New Roman" w:eastAsia="Times New Roman" w:hAnsi="Times New Roman" w:cs="Times New Roman"/>
          <w:sz w:val="24"/>
          <w:szCs w:val="24"/>
          <w:lang w:val="en-US" w:eastAsia="ru-RU"/>
        </w:rPr>
        <w:t xml:space="preserve">of </w:t>
      </w:r>
      <w:r w:rsidRPr="003F6853">
        <w:rPr>
          <w:rFonts w:ascii="Times New Roman" w:eastAsia="Times New Roman" w:hAnsi="Times New Roman" w:cs="Times New Roman"/>
          <w:sz w:val="24"/>
          <w:szCs w:val="24"/>
          <w:lang w:val="en-US" w:eastAsia="ru-RU"/>
        </w:rPr>
        <w:t xml:space="preserve"> NCC</w:t>
      </w:r>
      <w:proofErr w:type="gramEnd"/>
      <w:r w:rsidRPr="003F6853">
        <w:rPr>
          <w:rFonts w:ascii="Times New Roman" w:eastAsia="Times New Roman" w:hAnsi="Times New Roman" w:cs="Times New Roman"/>
          <w:sz w:val="24"/>
          <w:szCs w:val="24"/>
          <w:lang w:val="en-US" w:eastAsia="ru-RU"/>
        </w:rPr>
        <w:t xml:space="preserve"> and </w:t>
      </w:r>
      <w:r w:rsidR="00330ECB">
        <w:rPr>
          <w:rFonts w:ascii="Times New Roman" w:eastAsia="Times New Roman" w:hAnsi="Times New Roman" w:cs="Times New Roman"/>
          <w:sz w:val="24"/>
          <w:szCs w:val="24"/>
          <w:lang w:val="en-US" w:eastAsia="ru-RU"/>
        </w:rPr>
        <w:t xml:space="preserve">the </w:t>
      </w:r>
      <w:r w:rsidRPr="003F6853">
        <w:rPr>
          <w:rFonts w:ascii="Times New Roman" w:eastAsia="Times New Roman" w:hAnsi="Times New Roman" w:cs="Times New Roman"/>
          <w:sz w:val="24"/>
          <w:szCs w:val="24"/>
          <w:lang w:val="en-US" w:eastAsia="ru-RU"/>
        </w:rPr>
        <w:t>effective control over  activities of the Board and Chairman of the Board.</w:t>
      </w:r>
    </w:p>
    <w:p w:rsidR="003F6853" w:rsidRPr="003F6853" w:rsidRDefault="003F6853" w:rsidP="003F6853">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r w:rsidRPr="003F6853">
        <w:rPr>
          <w:rFonts w:ascii="Times New Roman" w:eastAsia="Times New Roman" w:hAnsi="Times New Roman" w:cs="Times New Roman"/>
          <w:sz w:val="24"/>
          <w:szCs w:val="24"/>
          <w:lang w:val="en-US" w:eastAsia="ru-RU"/>
        </w:rPr>
        <w:t xml:space="preserve">The Supervisory Board is formed of highly professional managers with the necessary knowledge and expertise to address the long-term strategic objectives of </w:t>
      </w:r>
      <w:r w:rsidR="00330ECB">
        <w:rPr>
          <w:rFonts w:ascii="Times New Roman" w:eastAsia="Times New Roman" w:hAnsi="Times New Roman" w:cs="Times New Roman"/>
          <w:sz w:val="24"/>
          <w:szCs w:val="24"/>
          <w:lang w:val="en-US" w:eastAsia="ru-RU"/>
        </w:rPr>
        <w:t xml:space="preserve">the </w:t>
      </w:r>
      <w:r w:rsidRPr="003F6853">
        <w:rPr>
          <w:rFonts w:ascii="Times New Roman" w:eastAsia="Times New Roman" w:hAnsi="Times New Roman" w:cs="Times New Roman"/>
          <w:sz w:val="24"/>
          <w:szCs w:val="24"/>
          <w:lang w:val="en-US" w:eastAsia="ru-RU"/>
        </w:rPr>
        <w:t>NCC development and having considerable experience in the collegiate governing bodies. Members of the Supervisory Board in their activity report to the NCC shareholder.</w:t>
      </w:r>
    </w:p>
    <w:p w:rsidR="003F6853" w:rsidRPr="003F6853" w:rsidRDefault="003F6853" w:rsidP="003F6853">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r w:rsidRPr="003F6853">
        <w:rPr>
          <w:rFonts w:ascii="Times New Roman" w:eastAsia="Times New Roman" w:hAnsi="Times New Roman" w:cs="Times New Roman"/>
          <w:sz w:val="24"/>
          <w:szCs w:val="24"/>
          <w:lang w:val="en-US" w:eastAsia="ru-RU"/>
        </w:rPr>
        <w:t>To ensure quality and timely decision-making in the human resources and remuneration at the Supervisory Board of NCC the Commission on Human Resources and Compensation Committee is established.</w:t>
      </w:r>
    </w:p>
    <w:p w:rsidR="003F6853" w:rsidRPr="003F6853" w:rsidRDefault="003F6853" w:rsidP="003F6853">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r w:rsidRPr="003F6853">
        <w:rPr>
          <w:rFonts w:ascii="Times New Roman" w:eastAsia="Times New Roman" w:hAnsi="Times New Roman" w:cs="Times New Roman"/>
          <w:sz w:val="24"/>
          <w:szCs w:val="24"/>
          <w:lang w:val="en-US" w:eastAsia="ru-RU"/>
        </w:rPr>
        <w:t xml:space="preserve">In order to fulfill the requirements of the Federal Law "On clearing and clearing activities" to gain control over the risk management system at the Supervisory Board of NCC operates the Risk Committee. The main task of the Committee is to participate in the improvement of </w:t>
      </w:r>
      <w:r w:rsidR="00330ECB">
        <w:rPr>
          <w:rFonts w:ascii="Times New Roman" w:eastAsia="Times New Roman" w:hAnsi="Times New Roman" w:cs="Times New Roman"/>
          <w:sz w:val="24"/>
          <w:szCs w:val="24"/>
          <w:lang w:val="en-US" w:eastAsia="ru-RU"/>
        </w:rPr>
        <w:t xml:space="preserve">the </w:t>
      </w:r>
      <w:r w:rsidRPr="003F6853">
        <w:rPr>
          <w:rFonts w:ascii="Times New Roman" w:eastAsia="Times New Roman" w:hAnsi="Times New Roman" w:cs="Times New Roman"/>
          <w:sz w:val="24"/>
          <w:szCs w:val="24"/>
          <w:lang w:val="en-US" w:eastAsia="ru-RU"/>
        </w:rPr>
        <w:t>risk management system as a clearing organization, functioning as a central counterparty in order to improve the financial stability of the Bank and to ensure continuity of clearing activities.</w:t>
      </w:r>
      <w:r w:rsidR="00E320AE" w:rsidRPr="00E320AE">
        <w:rPr>
          <w:rFonts w:ascii="Times New Roman" w:eastAsia="Times New Roman" w:hAnsi="Times New Roman" w:cs="Times New Roman"/>
          <w:sz w:val="24"/>
          <w:szCs w:val="24"/>
          <w:lang w:val="en-US" w:eastAsia="ru-RU"/>
        </w:rPr>
        <w:t xml:space="preserve"> </w:t>
      </w:r>
      <w:proofErr w:type="gramStart"/>
      <w:r w:rsidR="00E320AE" w:rsidRPr="003F6853">
        <w:rPr>
          <w:rFonts w:ascii="Times New Roman" w:eastAsia="Times New Roman" w:hAnsi="Times New Roman" w:cs="Times New Roman"/>
          <w:sz w:val="24"/>
          <w:szCs w:val="24"/>
          <w:lang w:val="en-US" w:eastAsia="ru-RU"/>
        </w:rPr>
        <w:t>corporate</w:t>
      </w:r>
      <w:proofErr w:type="gramEnd"/>
      <w:r w:rsidR="00E320AE" w:rsidRPr="003F6853">
        <w:rPr>
          <w:rFonts w:ascii="Times New Roman" w:eastAsia="Times New Roman" w:hAnsi="Times New Roman" w:cs="Times New Roman"/>
          <w:sz w:val="24"/>
          <w:szCs w:val="24"/>
          <w:lang w:val="en-US" w:eastAsia="ru-RU"/>
        </w:rPr>
        <w:t xml:space="preserve"> governance</w:t>
      </w:r>
    </w:p>
    <w:p w:rsidR="003F6853" w:rsidRPr="003F6853" w:rsidRDefault="003F6853" w:rsidP="003F6853">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r w:rsidRPr="003F6853">
        <w:rPr>
          <w:rFonts w:ascii="Times New Roman" w:eastAsia="Times New Roman" w:hAnsi="Times New Roman" w:cs="Times New Roman"/>
          <w:sz w:val="24"/>
          <w:szCs w:val="24"/>
          <w:lang w:val="en-US" w:eastAsia="ru-RU"/>
        </w:rPr>
        <w:t xml:space="preserve">Corporate Governance Practices in NCC provides the Executive Board and CEO </w:t>
      </w:r>
      <w:r w:rsidR="00E320AE">
        <w:rPr>
          <w:rFonts w:ascii="Times New Roman" w:eastAsia="Times New Roman" w:hAnsi="Times New Roman" w:cs="Times New Roman"/>
          <w:sz w:val="24"/>
          <w:szCs w:val="24"/>
          <w:lang w:val="en-US" w:eastAsia="ru-RU"/>
        </w:rPr>
        <w:t xml:space="preserve">with an </w:t>
      </w:r>
      <w:r w:rsidRPr="003F6853">
        <w:rPr>
          <w:rFonts w:ascii="Times New Roman" w:eastAsia="Times New Roman" w:hAnsi="Times New Roman" w:cs="Times New Roman"/>
          <w:sz w:val="24"/>
          <w:szCs w:val="24"/>
          <w:lang w:val="en-US" w:eastAsia="ru-RU"/>
        </w:rPr>
        <w:t>opportunity to reasonably, in good faith, solely for the benefit of the Bank</w:t>
      </w:r>
      <w:r w:rsidR="00E320AE">
        <w:rPr>
          <w:rFonts w:ascii="Times New Roman" w:eastAsia="Times New Roman" w:hAnsi="Times New Roman" w:cs="Times New Roman"/>
          <w:sz w:val="24"/>
          <w:szCs w:val="24"/>
          <w:lang w:val="en-US" w:eastAsia="ru-RU"/>
        </w:rPr>
        <w:t xml:space="preserve"> to carry out the</w:t>
      </w:r>
      <w:r w:rsidRPr="003F6853">
        <w:rPr>
          <w:rFonts w:ascii="Times New Roman" w:eastAsia="Times New Roman" w:hAnsi="Times New Roman" w:cs="Times New Roman"/>
          <w:sz w:val="24"/>
          <w:szCs w:val="24"/>
          <w:lang w:val="en-US" w:eastAsia="ru-RU"/>
        </w:rPr>
        <w:t xml:space="preserve"> effective manag</w:t>
      </w:r>
      <w:r w:rsidR="00E320AE">
        <w:rPr>
          <w:rFonts w:ascii="Times New Roman" w:eastAsia="Times New Roman" w:hAnsi="Times New Roman" w:cs="Times New Roman"/>
          <w:sz w:val="24"/>
          <w:szCs w:val="24"/>
          <w:lang w:val="en-US" w:eastAsia="ru-RU"/>
        </w:rPr>
        <w:t xml:space="preserve">ement </w:t>
      </w:r>
      <w:r w:rsidRPr="003F6853">
        <w:rPr>
          <w:rFonts w:ascii="Times New Roman" w:eastAsia="Times New Roman" w:hAnsi="Times New Roman" w:cs="Times New Roman"/>
          <w:sz w:val="24"/>
          <w:szCs w:val="24"/>
          <w:lang w:val="en-US" w:eastAsia="ru-RU"/>
        </w:rPr>
        <w:t>of the daily operations, as well as accountability of these bodies to the Supervisory Board and the General Shareholders Meeting. The Executive Board and CEO shall organize the implementation of decisions of the General Shareholders Meeting and the Supervi</w:t>
      </w:r>
      <w:r w:rsidR="00E320AE">
        <w:rPr>
          <w:rFonts w:ascii="Times New Roman" w:eastAsia="Times New Roman" w:hAnsi="Times New Roman" w:cs="Times New Roman"/>
          <w:sz w:val="24"/>
          <w:szCs w:val="24"/>
          <w:lang w:val="en-US" w:eastAsia="ru-RU"/>
        </w:rPr>
        <w:t xml:space="preserve">sory Board. The Charter of </w:t>
      </w:r>
      <w:r w:rsidRPr="003F6853">
        <w:rPr>
          <w:rFonts w:ascii="Times New Roman" w:eastAsia="Times New Roman" w:hAnsi="Times New Roman" w:cs="Times New Roman"/>
          <w:sz w:val="24"/>
          <w:szCs w:val="24"/>
          <w:lang w:val="en-US" w:eastAsia="ru-RU"/>
        </w:rPr>
        <w:t>National Clearing Centre provides the right to the Supervisory Board to suspend the powers of the CEO, appointed by the General Shareholders Meeting.</w:t>
      </w:r>
    </w:p>
    <w:p w:rsidR="003F6853" w:rsidRPr="003F6853" w:rsidRDefault="003F6853" w:rsidP="003F6853">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r w:rsidRPr="003F6853">
        <w:rPr>
          <w:rFonts w:ascii="Times New Roman" w:eastAsia="Times New Roman" w:hAnsi="Times New Roman" w:cs="Times New Roman"/>
          <w:sz w:val="24"/>
          <w:szCs w:val="24"/>
          <w:lang w:val="en-US" w:eastAsia="ru-RU"/>
        </w:rPr>
        <w:t xml:space="preserve">In NCC the use </w:t>
      </w:r>
      <w:proofErr w:type="gramStart"/>
      <w:r w:rsidRPr="003F6853">
        <w:rPr>
          <w:rFonts w:ascii="Times New Roman" w:eastAsia="Times New Roman" w:hAnsi="Times New Roman" w:cs="Times New Roman"/>
          <w:sz w:val="24"/>
          <w:szCs w:val="24"/>
          <w:lang w:val="en-US" w:eastAsia="ru-RU"/>
        </w:rPr>
        <w:t xml:space="preserve">of </w:t>
      </w:r>
      <w:r w:rsidR="00970843">
        <w:rPr>
          <w:rFonts w:ascii="Times New Roman" w:eastAsia="Times New Roman" w:hAnsi="Times New Roman" w:cs="Times New Roman"/>
          <w:sz w:val="24"/>
          <w:szCs w:val="24"/>
          <w:lang w:val="en-US" w:eastAsia="ru-RU"/>
        </w:rPr>
        <w:t xml:space="preserve"> the</w:t>
      </w:r>
      <w:proofErr w:type="gramEnd"/>
      <w:r w:rsidR="00E320AE">
        <w:rPr>
          <w:rFonts w:ascii="Times New Roman" w:eastAsia="Times New Roman" w:hAnsi="Times New Roman" w:cs="Times New Roman"/>
          <w:sz w:val="24"/>
          <w:szCs w:val="24"/>
          <w:lang w:val="en-US" w:eastAsia="ru-RU"/>
        </w:rPr>
        <w:t xml:space="preserve"> </w:t>
      </w:r>
      <w:r w:rsidRPr="003F6853">
        <w:rPr>
          <w:rFonts w:ascii="Times New Roman" w:eastAsia="Times New Roman" w:hAnsi="Times New Roman" w:cs="Times New Roman"/>
          <w:sz w:val="24"/>
          <w:szCs w:val="24"/>
          <w:lang w:val="en-US" w:eastAsia="ru-RU"/>
        </w:rPr>
        <w:t xml:space="preserve">confidential information is monitored. The Bank carries out </w:t>
      </w:r>
      <w:r w:rsidR="00E320AE">
        <w:rPr>
          <w:rFonts w:ascii="Times New Roman" w:eastAsia="Times New Roman" w:hAnsi="Times New Roman" w:cs="Times New Roman"/>
          <w:sz w:val="24"/>
          <w:szCs w:val="24"/>
          <w:lang w:val="en-US" w:eastAsia="ru-RU"/>
        </w:rPr>
        <w:t xml:space="preserve">the </w:t>
      </w:r>
      <w:r w:rsidRPr="003F6853">
        <w:rPr>
          <w:rFonts w:ascii="Times New Roman" w:eastAsia="Times New Roman" w:hAnsi="Times New Roman" w:cs="Times New Roman"/>
          <w:sz w:val="24"/>
          <w:szCs w:val="24"/>
          <w:lang w:val="en-US" w:eastAsia="ru-RU"/>
        </w:rPr>
        <w:t>timely disclosure of complete and accurate information, including on the financial position, performance, ownership and management structure, based on the principles of equality of rights of all stakeholders to obtain information, taking into consideration the applicable laws.</w:t>
      </w:r>
    </w:p>
    <w:p w:rsidR="003F6853" w:rsidRPr="003F6853" w:rsidRDefault="003F6853" w:rsidP="003F6853">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r w:rsidRPr="003F6853">
        <w:rPr>
          <w:rFonts w:ascii="Times New Roman" w:eastAsia="Times New Roman" w:hAnsi="Times New Roman" w:cs="Times New Roman"/>
          <w:sz w:val="24"/>
          <w:szCs w:val="24"/>
          <w:lang w:val="en-US" w:eastAsia="ru-RU"/>
        </w:rPr>
        <w:t xml:space="preserve">NCC discloses its financial statements in accordance with </w:t>
      </w:r>
      <w:r w:rsidR="00E320AE">
        <w:rPr>
          <w:rFonts w:ascii="Times New Roman" w:eastAsia="Times New Roman" w:hAnsi="Times New Roman" w:cs="Times New Roman"/>
          <w:sz w:val="24"/>
          <w:szCs w:val="24"/>
          <w:lang w:val="en-US" w:eastAsia="ru-RU"/>
        </w:rPr>
        <w:t xml:space="preserve">the </w:t>
      </w:r>
      <w:r w:rsidRPr="003F6853">
        <w:rPr>
          <w:rFonts w:ascii="Times New Roman" w:eastAsia="Times New Roman" w:hAnsi="Times New Roman" w:cs="Times New Roman"/>
          <w:sz w:val="24"/>
          <w:szCs w:val="24"/>
          <w:lang w:val="en-US" w:eastAsia="ru-RU"/>
        </w:rPr>
        <w:t xml:space="preserve">Russian and international standards. NCC also discloses </w:t>
      </w:r>
      <w:r w:rsidR="00E320AE">
        <w:rPr>
          <w:rFonts w:ascii="Times New Roman" w:eastAsia="Times New Roman" w:hAnsi="Times New Roman" w:cs="Times New Roman"/>
          <w:sz w:val="24"/>
          <w:szCs w:val="24"/>
          <w:lang w:val="en-US" w:eastAsia="ru-RU"/>
        </w:rPr>
        <w:t xml:space="preserve">the </w:t>
      </w:r>
      <w:r w:rsidRPr="003F6853">
        <w:rPr>
          <w:rFonts w:ascii="Times New Roman" w:eastAsia="Times New Roman" w:hAnsi="Times New Roman" w:cs="Times New Roman"/>
          <w:sz w:val="24"/>
          <w:szCs w:val="24"/>
          <w:lang w:val="en-US" w:eastAsia="ru-RU"/>
        </w:rPr>
        <w:t>additional information on its activities, which may be essential for shareholders, investors and other interested parties, in compliance with a reasonable balance between the Bank and the protection of its commercial interests.</w:t>
      </w:r>
    </w:p>
    <w:p w:rsidR="003F6853" w:rsidRPr="003F6853" w:rsidRDefault="003F6853" w:rsidP="003F6853">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r w:rsidRPr="003F6853">
        <w:rPr>
          <w:rFonts w:ascii="Times New Roman" w:eastAsia="Times New Roman" w:hAnsi="Times New Roman" w:cs="Times New Roman"/>
          <w:sz w:val="24"/>
          <w:szCs w:val="24"/>
          <w:lang w:val="en-US" w:eastAsia="ru-RU"/>
        </w:rPr>
        <w:t>For disclosure NCC uses the most convenient means and methods. The maximum possible amount of information is available on the corporate website (www.nkcbank.ru). NCC also discloses information through the media. Every significant event or action is accompanied by the release of NCC's press releases distributed to the media.</w:t>
      </w:r>
    </w:p>
    <w:p w:rsidR="003F6853" w:rsidRPr="003F6853" w:rsidRDefault="003F6853" w:rsidP="003F6853">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r w:rsidRPr="003F6853">
        <w:rPr>
          <w:rFonts w:ascii="Times New Roman" w:eastAsia="Times New Roman" w:hAnsi="Times New Roman" w:cs="Times New Roman"/>
          <w:sz w:val="24"/>
          <w:szCs w:val="24"/>
          <w:lang w:val="en-US" w:eastAsia="ru-RU"/>
        </w:rPr>
        <w:t xml:space="preserve">The Supervisory Board, the Audit Commission, the independent auditor and the Internal Audit Service of the Bank, </w:t>
      </w:r>
      <w:r w:rsidR="00FA3523">
        <w:rPr>
          <w:rFonts w:ascii="Times New Roman" w:eastAsia="Times New Roman" w:hAnsi="Times New Roman" w:cs="Times New Roman"/>
          <w:sz w:val="24"/>
          <w:szCs w:val="24"/>
          <w:lang w:val="en-US" w:eastAsia="ru-RU"/>
        </w:rPr>
        <w:t>which</w:t>
      </w:r>
      <w:r w:rsidRPr="003F6853">
        <w:rPr>
          <w:rFonts w:ascii="Times New Roman" w:eastAsia="Times New Roman" w:hAnsi="Times New Roman" w:cs="Times New Roman"/>
          <w:sz w:val="24"/>
          <w:szCs w:val="24"/>
          <w:lang w:val="en-US" w:eastAsia="ru-RU"/>
        </w:rPr>
        <w:t xml:space="preserve"> activities are accountable to the Supervisory Board, make control over financial and economic activity of the NCC's Supervisory Board. Independent auditor shall be approved by the General Shareholders Meeting.</w:t>
      </w:r>
    </w:p>
    <w:p w:rsidR="003F6853" w:rsidRPr="003F6853" w:rsidRDefault="003F6853" w:rsidP="003F6853">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r w:rsidRPr="003F6853">
        <w:rPr>
          <w:rFonts w:ascii="Times New Roman" w:eastAsia="Times New Roman" w:hAnsi="Times New Roman" w:cs="Times New Roman"/>
          <w:sz w:val="24"/>
          <w:szCs w:val="24"/>
          <w:lang w:val="en-US" w:eastAsia="ru-RU"/>
        </w:rPr>
        <w:t>NCC gives great importance to the timely prevention and just settlement of corporate conflicts and intends to resolve corporate conflicts in the early stages of their appearance on the basis of negotiations and compromises involved in the conflict, taking into account the legitimate interests of all participants.</w:t>
      </w:r>
    </w:p>
    <w:p w:rsidR="003F6853" w:rsidRPr="003F6853" w:rsidRDefault="003F6853" w:rsidP="003F6853">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r w:rsidRPr="003F6853">
        <w:rPr>
          <w:rFonts w:ascii="Times New Roman" w:eastAsia="Times New Roman" w:hAnsi="Times New Roman" w:cs="Times New Roman"/>
          <w:sz w:val="24"/>
          <w:szCs w:val="24"/>
          <w:lang w:val="en-US" w:eastAsia="ru-RU"/>
        </w:rPr>
        <w:t>Internal documents of NCC secure procedures of declaring members of the executive bodies of the NCC a conflict of interest, and mandatory reporting of the Supervisory Board on such cases. This practice improves the protection of the interests of shareholders.</w:t>
      </w:r>
    </w:p>
    <w:p w:rsidR="003F6853" w:rsidRPr="003F6853" w:rsidRDefault="003F6853" w:rsidP="003F6853">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en-US" w:eastAsia="ru-RU"/>
        </w:rPr>
      </w:pPr>
      <w:r w:rsidRPr="003F6853">
        <w:rPr>
          <w:rFonts w:ascii="Times New Roman" w:eastAsia="Times New Roman" w:hAnsi="Times New Roman" w:cs="Times New Roman"/>
          <w:sz w:val="24"/>
          <w:szCs w:val="24"/>
          <w:lang w:val="en-US" w:eastAsia="ru-RU"/>
        </w:rPr>
        <w:t xml:space="preserve">The Bank is working to improve the internal </w:t>
      </w:r>
      <w:hyperlink r:id="rId43" w:history="1">
        <w:r w:rsidR="00FA3523" w:rsidRPr="00902AA6">
          <w:rPr>
            <w:rFonts w:ascii="Times New Roman" w:hAnsi="Times New Roman" w:cs="Times New Roman"/>
            <w:sz w:val="24"/>
            <w:szCs w:val="24"/>
            <w:lang w:val="en-US"/>
          </w:rPr>
          <w:t>rules and regulations</w:t>
        </w:r>
      </w:hyperlink>
      <w:r w:rsidR="00902AA6" w:rsidRPr="00902AA6">
        <w:rPr>
          <w:rFonts w:ascii="Times New Roman" w:hAnsi="Times New Roman" w:cs="Times New Roman"/>
          <w:sz w:val="24"/>
          <w:szCs w:val="24"/>
          <w:lang w:val="en-US"/>
        </w:rPr>
        <w:t>’</w:t>
      </w:r>
      <w:r w:rsidR="00902AA6" w:rsidRPr="00902AA6">
        <w:rPr>
          <w:rFonts w:ascii="Times New Roman" w:hAnsi="Times New Roman" w:cs="Times New Roman"/>
          <w:color w:val="000000"/>
          <w:sz w:val="24"/>
          <w:szCs w:val="24"/>
          <w:lang w:val="en-US"/>
        </w:rPr>
        <w:t xml:space="preserve"> </w:t>
      </w:r>
      <w:r w:rsidRPr="007211BA">
        <w:rPr>
          <w:rFonts w:ascii="Times New Roman" w:eastAsia="Times New Roman" w:hAnsi="Times New Roman" w:cs="Times New Roman"/>
          <w:sz w:val="24"/>
          <w:szCs w:val="24"/>
          <w:lang w:val="en-US" w:eastAsia="ru-RU"/>
        </w:rPr>
        <w:t>base</w:t>
      </w:r>
      <w:r w:rsidRPr="003F6853">
        <w:rPr>
          <w:rFonts w:ascii="Times New Roman" w:eastAsia="Times New Roman" w:hAnsi="Times New Roman" w:cs="Times New Roman"/>
          <w:sz w:val="24"/>
          <w:szCs w:val="24"/>
          <w:lang w:val="en-US" w:eastAsia="ru-RU"/>
        </w:rPr>
        <w:t xml:space="preserve"> aimed at introducing elements of corporate governance best practices in the operation of the management and control departments of the Bank.</w:t>
      </w:r>
    </w:p>
    <w:p w:rsidR="00AA0377" w:rsidRDefault="00AA0377" w:rsidP="0075306F">
      <w:pPr>
        <w:keepNext/>
        <w:widowControl w:val="0"/>
        <w:overflowPunct w:val="0"/>
        <w:autoSpaceDE w:val="0"/>
        <w:autoSpaceDN w:val="0"/>
        <w:adjustRightInd w:val="0"/>
        <w:spacing w:before="100" w:after="120" w:line="240" w:lineRule="auto"/>
        <w:jc w:val="center"/>
        <w:textAlignment w:val="baseline"/>
        <w:outlineLvl w:val="0"/>
        <w:rPr>
          <w:rFonts w:ascii="Times New Roman" w:eastAsia="Times New Roman" w:hAnsi="Times New Roman" w:cs="Times New Roman"/>
          <w:b/>
          <w:bCs/>
          <w:kern w:val="32"/>
          <w:sz w:val="28"/>
          <w:szCs w:val="28"/>
          <w:lang w:val="en-US" w:eastAsia="ru-RU"/>
        </w:rPr>
      </w:pPr>
    </w:p>
    <w:p w:rsidR="00AA0377" w:rsidRDefault="00AA0377" w:rsidP="0075306F">
      <w:pPr>
        <w:keepNext/>
        <w:widowControl w:val="0"/>
        <w:overflowPunct w:val="0"/>
        <w:autoSpaceDE w:val="0"/>
        <w:autoSpaceDN w:val="0"/>
        <w:adjustRightInd w:val="0"/>
        <w:spacing w:before="100" w:after="120" w:line="240" w:lineRule="auto"/>
        <w:jc w:val="center"/>
        <w:textAlignment w:val="baseline"/>
        <w:outlineLvl w:val="0"/>
        <w:rPr>
          <w:rFonts w:ascii="Times New Roman" w:eastAsia="Times New Roman" w:hAnsi="Times New Roman" w:cs="Times New Roman"/>
          <w:b/>
          <w:bCs/>
          <w:kern w:val="32"/>
          <w:sz w:val="28"/>
          <w:szCs w:val="28"/>
          <w:lang w:val="en-US" w:eastAsia="ru-RU"/>
        </w:rPr>
      </w:pPr>
    </w:p>
    <w:p w:rsidR="0075306F" w:rsidRPr="00902AA6" w:rsidRDefault="0075306F" w:rsidP="00472CA4">
      <w:pPr>
        <w:pStyle w:val="af0"/>
        <w:keepNext/>
        <w:widowControl w:val="0"/>
        <w:numPr>
          <w:ilvl w:val="0"/>
          <w:numId w:val="54"/>
        </w:numPr>
        <w:overflowPunct w:val="0"/>
        <w:autoSpaceDE w:val="0"/>
        <w:autoSpaceDN w:val="0"/>
        <w:adjustRightInd w:val="0"/>
        <w:spacing w:before="100" w:after="120" w:line="240" w:lineRule="auto"/>
        <w:jc w:val="center"/>
        <w:textAlignment w:val="baseline"/>
        <w:outlineLvl w:val="0"/>
        <w:rPr>
          <w:rFonts w:ascii="Times New Roman" w:eastAsia="Times New Roman" w:hAnsi="Times New Roman" w:cs="Times New Roman"/>
          <w:b/>
          <w:bCs/>
          <w:kern w:val="32"/>
          <w:sz w:val="28"/>
          <w:szCs w:val="28"/>
          <w:lang w:val="en-US" w:eastAsia="ru-RU"/>
        </w:rPr>
      </w:pPr>
      <w:r w:rsidRPr="00902AA6">
        <w:rPr>
          <w:rFonts w:ascii="Times New Roman" w:eastAsia="Times New Roman" w:hAnsi="Times New Roman" w:cs="Times New Roman"/>
          <w:b/>
          <w:bCs/>
          <w:kern w:val="32"/>
          <w:sz w:val="28"/>
          <w:szCs w:val="28"/>
          <w:lang w:val="en-US" w:eastAsia="ru-RU"/>
        </w:rPr>
        <w:t>HR policy</w:t>
      </w:r>
      <w:bookmarkEnd w:id="5"/>
    </w:p>
    <w:p w:rsidR="0075306F" w:rsidRPr="0075306F" w:rsidRDefault="0075306F" w:rsidP="0075306F">
      <w:pPr>
        <w:spacing w:before="100" w:after="120" w:line="240" w:lineRule="auto"/>
        <w:contextualSpacing/>
        <w:jc w:val="center"/>
        <w:rPr>
          <w:rFonts w:ascii="Times New Roman" w:hAnsi="Times New Roman" w:cs="Times New Roman"/>
          <w:b/>
          <w:sz w:val="24"/>
          <w:szCs w:val="24"/>
          <w:lang w:val="en-US"/>
        </w:rPr>
      </w:pPr>
    </w:p>
    <w:p w:rsidR="0075306F" w:rsidRPr="0075306F" w:rsidRDefault="00936D1D" w:rsidP="0075306F">
      <w:pPr>
        <w:spacing w:before="100" w:after="120" w:line="240" w:lineRule="auto"/>
        <w:contextualSpacing/>
        <w:jc w:val="center"/>
        <w:rPr>
          <w:rFonts w:ascii="Times New Roman" w:hAnsi="Times New Roman" w:cs="Times New Roman"/>
          <w:b/>
          <w:sz w:val="24"/>
          <w:szCs w:val="24"/>
          <w:lang w:val="en-US"/>
        </w:rPr>
      </w:pPr>
      <w:r w:rsidRPr="0075306F">
        <w:rPr>
          <w:rFonts w:ascii="Times New Roman" w:hAnsi="Times New Roman" w:cs="Times New Roman"/>
          <w:b/>
          <w:sz w:val="24"/>
          <w:szCs w:val="24"/>
          <w:lang w:val="en-US"/>
        </w:rPr>
        <w:t xml:space="preserve">National Clearing Centre </w:t>
      </w:r>
      <w:r>
        <w:rPr>
          <w:rFonts w:ascii="Times New Roman" w:hAnsi="Times New Roman" w:cs="Times New Roman"/>
          <w:b/>
          <w:sz w:val="24"/>
          <w:szCs w:val="24"/>
          <w:lang w:val="en-US"/>
        </w:rPr>
        <w:t>o</w:t>
      </w:r>
      <w:r w:rsidR="0075306F" w:rsidRPr="0075306F">
        <w:rPr>
          <w:rFonts w:ascii="Times New Roman" w:hAnsi="Times New Roman" w:cs="Times New Roman"/>
          <w:b/>
          <w:sz w:val="24"/>
          <w:szCs w:val="24"/>
          <w:lang w:val="en-US"/>
        </w:rPr>
        <w:t>rgan</w:t>
      </w:r>
      <w:r>
        <w:rPr>
          <w:rFonts w:ascii="Times New Roman" w:hAnsi="Times New Roman" w:cs="Times New Roman"/>
          <w:b/>
          <w:sz w:val="24"/>
          <w:szCs w:val="24"/>
          <w:lang w:val="en-US"/>
        </w:rPr>
        <w:t xml:space="preserve">izational structure  </w:t>
      </w:r>
      <w:r w:rsidR="0075306F" w:rsidRPr="0075306F">
        <w:rPr>
          <w:rFonts w:ascii="Times New Roman" w:hAnsi="Times New Roman" w:cs="Times New Roman"/>
          <w:b/>
          <w:sz w:val="24"/>
          <w:szCs w:val="24"/>
          <w:lang w:val="en-US"/>
        </w:rPr>
        <w:t xml:space="preserve"> </w:t>
      </w:r>
    </w:p>
    <w:p w:rsidR="0075306F" w:rsidRPr="0075306F" w:rsidRDefault="0075306F" w:rsidP="0075306F">
      <w:pPr>
        <w:spacing w:before="100" w:after="120" w:line="240" w:lineRule="auto"/>
        <w:contextualSpacing/>
        <w:jc w:val="center"/>
        <w:rPr>
          <w:rFonts w:ascii="Times New Roman" w:hAnsi="Times New Roman" w:cs="Times New Roman"/>
          <w:b/>
          <w:sz w:val="24"/>
          <w:szCs w:val="24"/>
          <w:lang w:val="en-US"/>
        </w:rPr>
      </w:pPr>
    </w:p>
    <w:p w:rsidR="0075306F" w:rsidRPr="0075306F" w:rsidRDefault="00936D1D" w:rsidP="0075306F">
      <w:pPr>
        <w:spacing w:after="12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HR policy of </w:t>
      </w:r>
      <w:r w:rsidR="0075306F" w:rsidRPr="0075306F">
        <w:rPr>
          <w:rFonts w:ascii="Times New Roman" w:hAnsi="Times New Roman" w:cs="Times New Roman"/>
          <w:sz w:val="24"/>
          <w:szCs w:val="24"/>
          <w:lang w:val="en-US"/>
        </w:rPr>
        <w:t>National Clearing Centre in the reporting period was aimed at ensuring the realization of Moscow Exchange</w:t>
      </w:r>
      <w:r>
        <w:rPr>
          <w:rFonts w:ascii="Times New Roman" w:hAnsi="Times New Roman" w:cs="Times New Roman"/>
          <w:sz w:val="24"/>
          <w:szCs w:val="24"/>
          <w:lang w:val="en-US"/>
        </w:rPr>
        <w:t xml:space="preserve"> Group</w:t>
      </w:r>
      <w:r w:rsidR="0075306F" w:rsidRPr="0075306F">
        <w:rPr>
          <w:rFonts w:ascii="Times New Roman" w:hAnsi="Times New Roman" w:cs="Times New Roman"/>
          <w:sz w:val="24"/>
          <w:szCs w:val="24"/>
          <w:lang w:val="en-US"/>
        </w:rPr>
        <w:t xml:space="preserve"> management tasks for the Bank to develop the clearing in the stock exchange and OTC market segments, to improve </w:t>
      </w:r>
      <w:r>
        <w:rPr>
          <w:rFonts w:ascii="Times New Roman" w:hAnsi="Times New Roman" w:cs="Times New Roman"/>
          <w:sz w:val="24"/>
          <w:szCs w:val="24"/>
          <w:lang w:val="en-US"/>
        </w:rPr>
        <w:t xml:space="preserve">the </w:t>
      </w:r>
      <w:r w:rsidR="0075306F" w:rsidRPr="0075306F">
        <w:rPr>
          <w:rFonts w:ascii="Times New Roman" w:hAnsi="Times New Roman" w:cs="Times New Roman"/>
          <w:sz w:val="24"/>
          <w:szCs w:val="24"/>
          <w:lang w:val="en-US"/>
        </w:rPr>
        <w:t>risk management and implementation of plans of improving the profitability of the Group.</w:t>
      </w:r>
    </w:p>
    <w:p w:rsidR="0075306F" w:rsidRPr="0075306F" w:rsidRDefault="0075306F" w:rsidP="0075306F">
      <w:pPr>
        <w:spacing w:after="120" w:line="240" w:lineRule="auto"/>
        <w:ind w:firstLine="567"/>
        <w:jc w:val="both"/>
        <w:rPr>
          <w:rFonts w:ascii="Times New Roman" w:hAnsi="Times New Roman" w:cs="Times New Roman"/>
          <w:sz w:val="24"/>
          <w:szCs w:val="24"/>
          <w:lang w:val="en-US"/>
        </w:rPr>
      </w:pPr>
      <w:r w:rsidRPr="0075306F">
        <w:rPr>
          <w:rFonts w:ascii="Times New Roman" w:hAnsi="Times New Roman" w:cs="Times New Roman"/>
          <w:sz w:val="24"/>
          <w:szCs w:val="24"/>
          <w:lang w:val="en-US"/>
        </w:rPr>
        <w:t xml:space="preserve">In 2013, the number of </w:t>
      </w:r>
      <w:r w:rsidR="00936D1D">
        <w:rPr>
          <w:rFonts w:ascii="Times New Roman" w:hAnsi="Times New Roman" w:cs="Times New Roman"/>
          <w:sz w:val="24"/>
          <w:szCs w:val="24"/>
          <w:lang w:val="en-US"/>
        </w:rPr>
        <w:t>M</w:t>
      </w:r>
      <w:r w:rsidRPr="0075306F">
        <w:rPr>
          <w:rFonts w:ascii="Times New Roman" w:hAnsi="Times New Roman" w:cs="Times New Roman"/>
          <w:sz w:val="24"/>
          <w:szCs w:val="24"/>
          <w:lang w:val="en-US"/>
        </w:rPr>
        <w:t xml:space="preserve">embers of the </w:t>
      </w:r>
      <w:r w:rsidRPr="0075306F">
        <w:rPr>
          <w:rFonts w:ascii="Times New Roman" w:hAnsi="Times New Roman"/>
          <w:sz w:val="24"/>
          <w:szCs w:val="24"/>
          <w:lang w:val="en-US"/>
        </w:rPr>
        <w:t>Executive</w:t>
      </w:r>
      <w:r w:rsidR="00936D1D">
        <w:rPr>
          <w:rFonts w:ascii="Times New Roman" w:hAnsi="Times New Roman" w:cs="Times New Roman"/>
          <w:sz w:val="24"/>
          <w:szCs w:val="24"/>
          <w:lang w:val="en-US"/>
        </w:rPr>
        <w:t xml:space="preserve"> Board of</w:t>
      </w:r>
      <w:r w:rsidRPr="0075306F">
        <w:rPr>
          <w:rFonts w:ascii="Times New Roman" w:hAnsi="Times New Roman" w:cs="Times New Roman"/>
          <w:sz w:val="24"/>
          <w:szCs w:val="24"/>
          <w:lang w:val="en-US"/>
        </w:rPr>
        <w:t xml:space="preserve"> </w:t>
      </w:r>
      <w:r w:rsidR="00936D1D">
        <w:rPr>
          <w:rFonts w:ascii="Times New Roman" w:hAnsi="Times New Roman" w:cs="Times New Roman"/>
          <w:sz w:val="24"/>
          <w:szCs w:val="24"/>
          <w:lang w:val="en-US"/>
        </w:rPr>
        <w:t>NCC was</w:t>
      </w:r>
      <w:r w:rsidRPr="0075306F">
        <w:rPr>
          <w:rFonts w:ascii="Times New Roman" w:hAnsi="Times New Roman" w:cs="Times New Roman"/>
          <w:sz w:val="24"/>
          <w:szCs w:val="24"/>
          <w:lang w:val="en-US"/>
        </w:rPr>
        <w:t xml:space="preserve"> increased </w:t>
      </w:r>
      <w:r w:rsidR="00936D1D">
        <w:rPr>
          <w:rFonts w:ascii="Times New Roman" w:hAnsi="Times New Roman" w:cs="Times New Roman"/>
          <w:sz w:val="24"/>
          <w:szCs w:val="24"/>
          <w:lang w:val="en-US"/>
        </w:rPr>
        <w:t xml:space="preserve">up </w:t>
      </w:r>
      <w:r w:rsidRPr="0075306F">
        <w:rPr>
          <w:rFonts w:ascii="Times New Roman" w:hAnsi="Times New Roman" w:cs="Times New Roman"/>
          <w:sz w:val="24"/>
          <w:szCs w:val="24"/>
          <w:lang w:val="en-US"/>
        </w:rPr>
        <w:t>to 4 pe</w:t>
      </w:r>
      <w:r w:rsidR="00936D1D">
        <w:rPr>
          <w:rFonts w:ascii="Times New Roman" w:hAnsi="Times New Roman" w:cs="Times New Roman"/>
          <w:sz w:val="24"/>
          <w:szCs w:val="24"/>
          <w:lang w:val="en-US"/>
        </w:rPr>
        <w:t>rsons</w:t>
      </w:r>
      <w:proofErr w:type="gramStart"/>
      <w:r w:rsidRPr="0075306F">
        <w:rPr>
          <w:rFonts w:ascii="Times New Roman" w:hAnsi="Times New Roman" w:cs="Times New Roman"/>
          <w:sz w:val="24"/>
          <w:szCs w:val="24"/>
          <w:lang w:val="en-US"/>
        </w:rPr>
        <w:t>,</w:t>
      </w:r>
      <w:r w:rsidR="00936D1D">
        <w:rPr>
          <w:rFonts w:ascii="Times New Roman" w:hAnsi="Times New Roman" w:cs="Times New Roman"/>
          <w:sz w:val="24"/>
          <w:szCs w:val="24"/>
          <w:lang w:val="en-US"/>
        </w:rPr>
        <w:t xml:space="preserve"> </w:t>
      </w:r>
      <w:r w:rsidRPr="0075306F">
        <w:rPr>
          <w:rFonts w:ascii="Times New Roman" w:hAnsi="Times New Roman" w:cs="Times New Roman"/>
          <w:sz w:val="24"/>
          <w:szCs w:val="24"/>
          <w:lang w:val="en-US"/>
        </w:rPr>
        <w:t xml:space="preserve"> Director</w:t>
      </w:r>
      <w:proofErr w:type="gramEnd"/>
      <w:r w:rsidRPr="0075306F">
        <w:rPr>
          <w:rFonts w:ascii="Times New Roman" w:hAnsi="Times New Roman" w:cs="Times New Roman"/>
          <w:sz w:val="24"/>
          <w:szCs w:val="24"/>
          <w:lang w:val="en-US"/>
        </w:rPr>
        <w:t xml:space="preserve"> of the Clearing Department was elected to the </w:t>
      </w:r>
      <w:r w:rsidRPr="0075306F">
        <w:rPr>
          <w:rFonts w:ascii="Times New Roman" w:hAnsi="Times New Roman"/>
          <w:sz w:val="24"/>
          <w:szCs w:val="24"/>
          <w:lang w:val="en-US"/>
        </w:rPr>
        <w:t>Executive</w:t>
      </w:r>
      <w:r w:rsidRPr="0075306F">
        <w:rPr>
          <w:rFonts w:ascii="Times New Roman" w:hAnsi="Times New Roman" w:cs="Times New Roman"/>
          <w:sz w:val="24"/>
          <w:szCs w:val="24"/>
          <w:lang w:val="en-US"/>
        </w:rPr>
        <w:t xml:space="preserve"> Board. Managing Director joined the team of Bank's top managers. The main task assigned to the new top manager is the introduction of new and improvement of existing technologies of risk management.</w:t>
      </w:r>
    </w:p>
    <w:p w:rsidR="0075306F" w:rsidRPr="0075306F" w:rsidRDefault="0075306F" w:rsidP="0075306F">
      <w:pPr>
        <w:spacing w:after="120" w:line="240" w:lineRule="auto"/>
        <w:ind w:firstLine="567"/>
        <w:jc w:val="both"/>
        <w:rPr>
          <w:rFonts w:ascii="Times New Roman" w:eastAsia="Calibri" w:hAnsi="Times New Roman" w:cs="Times New Roman"/>
          <w:sz w:val="24"/>
          <w:szCs w:val="24"/>
          <w:lang w:val="en-US"/>
        </w:rPr>
      </w:pPr>
      <w:r w:rsidRPr="0075306F">
        <w:rPr>
          <w:rFonts w:ascii="Times New Roman" w:hAnsi="Times New Roman" w:cs="Times New Roman"/>
          <w:sz w:val="24"/>
          <w:szCs w:val="24"/>
          <w:lang w:val="en-US"/>
        </w:rPr>
        <w:t>In addition to these HR changes, the key Bank departments (Clearing Department, Department of Analysis and Risk Control, Department of Information Technologies) were staffed by highly qualified professionals.</w:t>
      </w:r>
    </w:p>
    <w:p w:rsidR="0075306F" w:rsidRPr="0075306F" w:rsidRDefault="0075306F" w:rsidP="0075306F">
      <w:pPr>
        <w:spacing w:after="120" w:line="240" w:lineRule="auto"/>
        <w:ind w:firstLine="567"/>
        <w:jc w:val="both"/>
        <w:rPr>
          <w:rFonts w:ascii="Times New Roman" w:hAnsi="Times New Roman" w:cs="Times New Roman"/>
          <w:sz w:val="24"/>
          <w:szCs w:val="24"/>
          <w:lang w:val="en-US"/>
        </w:rPr>
      </w:pPr>
      <w:r w:rsidRPr="0075306F">
        <w:rPr>
          <w:rFonts w:ascii="Times New Roman" w:hAnsi="Times New Roman" w:cs="Times New Roman"/>
          <w:sz w:val="24"/>
          <w:szCs w:val="24"/>
          <w:lang w:val="en-US"/>
        </w:rPr>
        <w:t>As of December</w:t>
      </w:r>
      <w:r w:rsidR="00936D1D">
        <w:rPr>
          <w:rFonts w:ascii="Times New Roman" w:hAnsi="Times New Roman" w:cs="Times New Roman"/>
          <w:sz w:val="24"/>
          <w:szCs w:val="24"/>
          <w:lang w:val="en-US"/>
        </w:rPr>
        <w:t xml:space="preserve"> 31,</w:t>
      </w:r>
      <w:r w:rsidRPr="0075306F">
        <w:rPr>
          <w:rFonts w:ascii="Times New Roman" w:hAnsi="Times New Roman" w:cs="Times New Roman"/>
          <w:sz w:val="24"/>
          <w:szCs w:val="24"/>
          <w:lang w:val="en-US"/>
        </w:rPr>
        <w:t xml:space="preserve"> </w:t>
      </w:r>
      <w:r w:rsidR="00936D1D">
        <w:rPr>
          <w:rFonts w:ascii="Times New Roman" w:hAnsi="Times New Roman" w:cs="Times New Roman"/>
          <w:sz w:val="24"/>
          <w:szCs w:val="24"/>
          <w:lang w:val="en-US"/>
        </w:rPr>
        <w:t>2013, the structure of</w:t>
      </w:r>
      <w:r w:rsidRPr="0075306F">
        <w:rPr>
          <w:rFonts w:ascii="Times New Roman" w:hAnsi="Times New Roman" w:cs="Times New Roman"/>
          <w:sz w:val="24"/>
          <w:szCs w:val="24"/>
          <w:lang w:val="en-US"/>
        </w:rPr>
        <w:t xml:space="preserve"> National Clearing Centre included 15 departments. The number of employees increased by 18 people or by 15% compared to the previous year, and amounted to 136 people at the end of 2013. </w:t>
      </w:r>
    </w:p>
    <w:p w:rsidR="0075306F" w:rsidRPr="0075306F" w:rsidRDefault="0075306F" w:rsidP="0075306F">
      <w:pPr>
        <w:spacing w:after="120" w:line="240" w:lineRule="auto"/>
        <w:ind w:firstLine="567"/>
        <w:jc w:val="both"/>
        <w:rPr>
          <w:rFonts w:ascii="Times New Roman" w:hAnsi="Times New Roman" w:cs="Times New Roman"/>
          <w:sz w:val="24"/>
          <w:szCs w:val="24"/>
          <w:lang w:val="en-US"/>
        </w:rPr>
      </w:pPr>
      <w:r w:rsidRPr="0075306F">
        <w:rPr>
          <w:noProof/>
          <w:lang w:eastAsia="ru-RU"/>
        </w:rPr>
        <w:drawing>
          <wp:inline distT="0" distB="0" distL="0" distR="0" wp14:anchorId="138DED2A" wp14:editId="46D02957">
            <wp:extent cx="5233916" cy="3128645"/>
            <wp:effectExtent l="0" t="0" r="5080" b="146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5306F" w:rsidRPr="0075306F" w:rsidRDefault="0075306F" w:rsidP="0075306F">
      <w:pPr>
        <w:spacing w:after="120" w:line="240" w:lineRule="auto"/>
        <w:jc w:val="center"/>
        <w:rPr>
          <w:rFonts w:ascii="Times New Roman" w:hAnsi="Times New Roman" w:cs="Times New Roman"/>
          <w:i/>
          <w:sz w:val="24"/>
          <w:szCs w:val="24"/>
          <w:lang w:val="en-US"/>
        </w:rPr>
      </w:pPr>
    </w:p>
    <w:p w:rsidR="0075306F" w:rsidRPr="0075306F" w:rsidRDefault="0075306F" w:rsidP="0075306F">
      <w:pPr>
        <w:spacing w:before="100" w:after="120" w:line="240" w:lineRule="auto"/>
        <w:contextualSpacing/>
        <w:jc w:val="center"/>
        <w:rPr>
          <w:rFonts w:ascii="Times New Roman" w:hAnsi="Times New Roman" w:cs="Times New Roman"/>
          <w:b/>
          <w:sz w:val="24"/>
          <w:szCs w:val="24"/>
          <w:lang w:val="en-US"/>
        </w:rPr>
      </w:pPr>
    </w:p>
    <w:p w:rsidR="0075306F" w:rsidRPr="0075306F" w:rsidRDefault="0075306F" w:rsidP="0075306F">
      <w:pPr>
        <w:spacing w:before="100" w:after="120" w:line="240" w:lineRule="auto"/>
        <w:contextualSpacing/>
        <w:jc w:val="center"/>
        <w:rPr>
          <w:rFonts w:ascii="Times New Roman" w:eastAsia="Calibri" w:hAnsi="Times New Roman" w:cs="Times New Roman"/>
          <w:b/>
          <w:sz w:val="24"/>
          <w:szCs w:val="24"/>
          <w:lang w:val="en-US"/>
        </w:rPr>
      </w:pPr>
      <w:r w:rsidRPr="0075306F">
        <w:rPr>
          <w:rFonts w:ascii="Times New Roman" w:hAnsi="Times New Roman" w:cs="Times New Roman"/>
          <w:b/>
          <w:sz w:val="24"/>
          <w:szCs w:val="24"/>
          <w:lang w:val="en-US"/>
        </w:rPr>
        <w:t>Motivation and remuneration policy</w:t>
      </w:r>
    </w:p>
    <w:p w:rsidR="0075306F" w:rsidRPr="0075306F" w:rsidRDefault="0075306F" w:rsidP="0075306F">
      <w:pPr>
        <w:spacing w:after="120" w:line="240" w:lineRule="auto"/>
        <w:ind w:left="1080" w:firstLine="567"/>
        <w:contextualSpacing/>
        <w:jc w:val="both"/>
        <w:rPr>
          <w:rFonts w:ascii="Times New Roman" w:hAnsi="Times New Roman" w:cs="Times New Roman"/>
          <w:b/>
          <w:sz w:val="24"/>
          <w:szCs w:val="24"/>
          <w:lang w:val="en-US"/>
        </w:rPr>
      </w:pPr>
    </w:p>
    <w:p w:rsidR="0075306F" w:rsidRPr="0075306F" w:rsidRDefault="0075306F" w:rsidP="0075306F">
      <w:pPr>
        <w:spacing w:after="120" w:line="240" w:lineRule="auto"/>
        <w:ind w:firstLine="567"/>
        <w:jc w:val="both"/>
        <w:rPr>
          <w:rFonts w:ascii="Times New Roman" w:hAnsi="Times New Roman" w:cs="Times New Roman"/>
          <w:sz w:val="24"/>
          <w:szCs w:val="24"/>
          <w:lang w:val="en-US"/>
        </w:rPr>
      </w:pPr>
      <w:r w:rsidRPr="0075306F">
        <w:rPr>
          <w:rFonts w:ascii="Times New Roman" w:hAnsi="Times New Roman" w:cs="Times New Roman"/>
          <w:sz w:val="24"/>
          <w:szCs w:val="24"/>
          <w:lang w:val="en-US"/>
        </w:rPr>
        <w:t>In 2013 the Regulations of administration grading system and the basic pay came into force, which allows the Bank to determine the value of specific positions for the company, to provide competitive remuneration to attract, motivate and retain qualified personnel, and to manage effectively the processes associated with the revision of employee wages on the results of operations for the period.</w:t>
      </w:r>
    </w:p>
    <w:p w:rsidR="0075306F" w:rsidRPr="0075306F" w:rsidRDefault="00936D1D" w:rsidP="0075306F">
      <w:pPr>
        <w:spacing w:after="12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In 2013</w:t>
      </w:r>
      <w:r w:rsidR="0075306F" w:rsidRPr="0075306F">
        <w:rPr>
          <w:rFonts w:ascii="Times New Roman" w:hAnsi="Times New Roman" w:cs="Times New Roman"/>
          <w:sz w:val="24"/>
          <w:szCs w:val="24"/>
          <w:lang w:val="en-US"/>
        </w:rPr>
        <w:t xml:space="preserve"> the development of the system of motivation of the employees of the Bank </w:t>
      </w:r>
      <w:proofErr w:type="gramStart"/>
      <w:r w:rsidR="00902AA6">
        <w:rPr>
          <w:rFonts w:ascii="Times New Roman" w:hAnsi="Times New Roman" w:cs="Times New Roman"/>
          <w:sz w:val="24"/>
          <w:szCs w:val="24"/>
          <w:lang w:val="en-US"/>
        </w:rPr>
        <w:t xml:space="preserve">was </w:t>
      </w:r>
      <w:r w:rsidR="00F6591D">
        <w:rPr>
          <w:rFonts w:ascii="Times New Roman" w:hAnsi="Times New Roman" w:cs="Times New Roman"/>
          <w:sz w:val="24"/>
          <w:szCs w:val="24"/>
          <w:lang w:val="en-US"/>
        </w:rPr>
        <w:t xml:space="preserve"> </w:t>
      </w:r>
      <w:r w:rsidR="0075306F" w:rsidRPr="0075306F">
        <w:rPr>
          <w:rFonts w:ascii="Times New Roman" w:hAnsi="Times New Roman" w:cs="Times New Roman"/>
          <w:sz w:val="24"/>
          <w:szCs w:val="24"/>
          <w:lang w:val="en-US"/>
        </w:rPr>
        <w:t>continued</w:t>
      </w:r>
      <w:proofErr w:type="gramEnd"/>
      <w:r w:rsidR="0075306F" w:rsidRPr="0075306F">
        <w:rPr>
          <w:rFonts w:ascii="Times New Roman" w:hAnsi="Times New Roman" w:cs="Times New Roman"/>
          <w:sz w:val="24"/>
          <w:szCs w:val="24"/>
          <w:lang w:val="en-US"/>
        </w:rPr>
        <w:t xml:space="preserve">, and the correlation between the achieved results and remuneration was strengthened. The performance management process (PMP), introduced in 2012, </w:t>
      </w:r>
      <w:proofErr w:type="gramStart"/>
      <w:r w:rsidR="0075306F" w:rsidRPr="0075306F">
        <w:rPr>
          <w:rFonts w:ascii="Times New Roman" w:hAnsi="Times New Roman" w:cs="Times New Roman"/>
          <w:sz w:val="24"/>
          <w:szCs w:val="24"/>
          <w:lang w:val="en-US"/>
        </w:rPr>
        <w:t>entrenched</w:t>
      </w:r>
      <w:proofErr w:type="gramEnd"/>
      <w:r w:rsidR="0075306F" w:rsidRPr="0075306F">
        <w:rPr>
          <w:rFonts w:ascii="Times New Roman" w:hAnsi="Times New Roman" w:cs="Times New Roman"/>
          <w:sz w:val="24"/>
          <w:szCs w:val="24"/>
          <w:lang w:val="en-US"/>
        </w:rPr>
        <w:t xml:space="preserve"> firmly in the management activities of the Bank and its business processes. The main stages of the PMP are automated on the basis of HRM system ET-Web, namely: formulation and statement of objectives for the next period, an interim evaluation, outcome evaluation of the activities for the reporting year. In the framework of the PMP the Bank employees were offered a series of training sessions, after which the staff improved their ability to set individual goals, and the managers improved their skills for feedback subordinates on the results of their activities.</w:t>
      </w:r>
    </w:p>
    <w:p w:rsidR="0075306F" w:rsidRPr="0075306F" w:rsidRDefault="0075306F" w:rsidP="0075306F">
      <w:pPr>
        <w:spacing w:after="120" w:line="240" w:lineRule="auto"/>
        <w:ind w:firstLine="567"/>
        <w:jc w:val="both"/>
        <w:rPr>
          <w:rFonts w:ascii="Times New Roman" w:hAnsi="Times New Roman" w:cs="Times New Roman"/>
          <w:sz w:val="24"/>
          <w:szCs w:val="24"/>
          <w:lang w:val="en-US"/>
        </w:rPr>
      </w:pPr>
      <w:r w:rsidRPr="0075306F">
        <w:rPr>
          <w:rFonts w:ascii="Times New Roman" w:hAnsi="Times New Roman" w:cs="Times New Roman"/>
          <w:sz w:val="24"/>
          <w:szCs w:val="24"/>
          <w:lang w:val="en-US"/>
        </w:rPr>
        <w:t>One of the important components of the system of motivation and remuneration of the Bank's employees is a bonus system based on performance for the year. Factors affecting individual premium to employees are the results of the individual and company performance for the reporting period, grade of position, the time actually spent in the reporting year, the salary amount and its change. When deciding on the size of individual premium volume in the reporting year, a proposal of supervising managers was considered.</w:t>
      </w:r>
    </w:p>
    <w:p w:rsidR="0075306F" w:rsidRPr="0075306F" w:rsidRDefault="0075306F" w:rsidP="0075306F">
      <w:pPr>
        <w:spacing w:after="120" w:line="240" w:lineRule="auto"/>
        <w:ind w:firstLine="567"/>
        <w:jc w:val="both"/>
        <w:rPr>
          <w:rFonts w:ascii="Times New Roman" w:hAnsi="Times New Roman" w:cs="Times New Roman"/>
          <w:sz w:val="24"/>
          <w:szCs w:val="24"/>
          <w:lang w:val="en-US"/>
        </w:rPr>
      </w:pPr>
      <w:r w:rsidRPr="0075306F">
        <w:rPr>
          <w:rFonts w:ascii="Times New Roman" w:hAnsi="Times New Roman" w:cs="Times New Roman"/>
          <w:sz w:val="24"/>
          <w:szCs w:val="24"/>
          <w:lang w:val="en-US"/>
        </w:rPr>
        <w:t xml:space="preserve">As part of the annual salary review (in May 2013) in order to retain highly-skilled and productive employees, a review of salaries was conducted. In addition to the evaluation of efficiency of activity for the reporting period, the fact of the revision of workers wage have also been influenced by the ratio of the fixed compensation of a particular employee to the average value of the level of wages offered in the </w:t>
      </w:r>
      <w:proofErr w:type="spellStart"/>
      <w:r w:rsidRPr="0075306F">
        <w:rPr>
          <w:rFonts w:ascii="Times New Roman" w:hAnsi="Times New Roman" w:cs="Times New Roman"/>
          <w:sz w:val="24"/>
          <w:szCs w:val="24"/>
          <w:lang w:val="en-US"/>
        </w:rPr>
        <w:t>labour</w:t>
      </w:r>
      <w:proofErr w:type="spellEnd"/>
      <w:r w:rsidRPr="0075306F">
        <w:rPr>
          <w:rFonts w:ascii="Times New Roman" w:hAnsi="Times New Roman" w:cs="Times New Roman"/>
          <w:sz w:val="24"/>
          <w:szCs w:val="24"/>
          <w:lang w:val="en-US"/>
        </w:rPr>
        <w:t xml:space="preserve"> market in companies of the financial sector comparable with the Bank.</w:t>
      </w:r>
    </w:p>
    <w:p w:rsidR="0075306F" w:rsidRPr="0075306F" w:rsidRDefault="0075306F" w:rsidP="0075306F">
      <w:pPr>
        <w:spacing w:before="100" w:after="120" w:line="240" w:lineRule="auto"/>
        <w:contextualSpacing/>
        <w:jc w:val="center"/>
        <w:rPr>
          <w:rFonts w:ascii="Times New Roman" w:hAnsi="Times New Roman" w:cs="Times New Roman"/>
          <w:b/>
          <w:sz w:val="24"/>
          <w:szCs w:val="24"/>
          <w:lang w:val="en-US"/>
        </w:rPr>
      </w:pPr>
      <w:r w:rsidRPr="0075306F">
        <w:rPr>
          <w:rFonts w:ascii="Times New Roman" w:hAnsi="Times New Roman" w:cs="Times New Roman"/>
          <w:b/>
          <w:sz w:val="24"/>
          <w:szCs w:val="24"/>
          <w:lang w:val="en-US"/>
        </w:rPr>
        <w:t>Social policy</w:t>
      </w:r>
    </w:p>
    <w:p w:rsidR="0075306F" w:rsidRPr="0075306F" w:rsidRDefault="0075306F" w:rsidP="0075306F">
      <w:pPr>
        <w:spacing w:before="100" w:after="120" w:line="240" w:lineRule="auto"/>
        <w:contextualSpacing/>
        <w:jc w:val="center"/>
        <w:rPr>
          <w:rFonts w:ascii="Times New Roman" w:eastAsia="Calibri" w:hAnsi="Times New Roman" w:cs="Times New Roman"/>
          <w:b/>
          <w:sz w:val="24"/>
          <w:szCs w:val="24"/>
          <w:lang w:val="en-US"/>
        </w:rPr>
      </w:pPr>
    </w:p>
    <w:p w:rsidR="0075306F" w:rsidRPr="0075306F" w:rsidRDefault="00936D1D" w:rsidP="0075306F">
      <w:pPr>
        <w:spacing w:after="120" w:line="240" w:lineRule="auto"/>
        <w:ind w:firstLine="567"/>
        <w:jc w:val="both"/>
        <w:rPr>
          <w:rFonts w:ascii="Times New Roman" w:eastAsia="Calibri" w:hAnsi="Times New Roman" w:cs="Times New Roman"/>
          <w:sz w:val="24"/>
          <w:szCs w:val="24"/>
          <w:lang w:val="en-US"/>
        </w:rPr>
      </w:pPr>
      <w:r>
        <w:rPr>
          <w:rFonts w:ascii="Times New Roman" w:hAnsi="Times New Roman" w:cs="Times New Roman"/>
          <w:sz w:val="24"/>
          <w:szCs w:val="24"/>
          <w:lang w:val="en-US"/>
        </w:rPr>
        <w:t>The main objectives of</w:t>
      </w:r>
      <w:r w:rsidR="0075306F" w:rsidRPr="0075306F">
        <w:rPr>
          <w:rFonts w:ascii="Times New Roman" w:hAnsi="Times New Roman" w:cs="Times New Roman"/>
          <w:sz w:val="24"/>
          <w:szCs w:val="24"/>
          <w:lang w:val="en-US"/>
        </w:rPr>
        <w:t xml:space="preserve"> National Clearing Centre social policy are the creation of conditions for the social protection of employees and the creation of favorable social and psychological climate.</w:t>
      </w:r>
    </w:p>
    <w:p w:rsidR="0075306F" w:rsidRPr="0075306F" w:rsidRDefault="0075306F" w:rsidP="0075306F">
      <w:pPr>
        <w:spacing w:after="120" w:line="240" w:lineRule="auto"/>
        <w:ind w:firstLine="567"/>
        <w:jc w:val="both"/>
        <w:rPr>
          <w:rFonts w:ascii="Times New Roman" w:hAnsi="Times New Roman" w:cs="Times New Roman"/>
          <w:sz w:val="24"/>
          <w:szCs w:val="24"/>
          <w:lang w:val="en-US"/>
        </w:rPr>
      </w:pPr>
      <w:r w:rsidRPr="0075306F">
        <w:rPr>
          <w:rFonts w:ascii="Times New Roman" w:hAnsi="Times New Roman" w:cs="Times New Roman"/>
          <w:sz w:val="24"/>
          <w:szCs w:val="24"/>
          <w:lang w:val="en-US"/>
        </w:rPr>
        <w:t>In the reporting period, the new edition of the Regulations of social benefits to employees was approved, which expanded the list of certain types of financial aid, which simultaneously improves the social protection of employees and their loyalty level to the company.</w:t>
      </w:r>
    </w:p>
    <w:p w:rsidR="0075306F" w:rsidRPr="0075306F" w:rsidRDefault="0075306F" w:rsidP="0075306F">
      <w:pPr>
        <w:spacing w:after="120" w:line="240" w:lineRule="auto"/>
        <w:ind w:firstLine="567"/>
        <w:jc w:val="both"/>
        <w:rPr>
          <w:rFonts w:ascii="Times New Roman" w:hAnsi="Times New Roman" w:cs="Times New Roman"/>
          <w:sz w:val="24"/>
          <w:szCs w:val="24"/>
          <w:lang w:val="en-US"/>
        </w:rPr>
      </w:pPr>
      <w:r w:rsidRPr="0075306F">
        <w:rPr>
          <w:rFonts w:ascii="Times New Roman" w:hAnsi="Times New Roman" w:cs="Times New Roman"/>
          <w:sz w:val="24"/>
          <w:szCs w:val="24"/>
          <w:lang w:val="en-US"/>
        </w:rPr>
        <w:t xml:space="preserve">Corporate voluntary medical insurance programs (hereinafter VMI) are formed to meet the needs of </w:t>
      </w:r>
      <w:r w:rsidR="00660DB9">
        <w:rPr>
          <w:rFonts w:ascii="Times New Roman" w:hAnsi="Times New Roman" w:cs="Times New Roman"/>
          <w:sz w:val="24"/>
          <w:szCs w:val="24"/>
          <w:lang w:val="en-US"/>
        </w:rPr>
        <w:t xml:space="preserve">the </w:t>
      </w:r>
      <w:r w:rsidRPr="0075306F">
        <w:rPr>
          <w:rFonts w:ascii="Times New Roman" w:hAnsi="Times New Roman" w:cs="Times New Roman"/>
          <w:sz w:val="24"/>
          <w:szCs w:val="24"/>
          <w:lang w:val="en-US"/>
        </w:rPr>
        <w:t>Bank</w:t>
      </w:r>
      <w:r w:rsidR="00660DB9">
        <w:rPr>
          <w:rFonts w:ascii="Times New Roman" w:hAnsi="Times New Roman" w:cs="Times New Roman"/>
          <w:sz w:val="24"/>
          <w:szCs w:val="24"/>
          <w:lang w:val="en-US"/>
        </w:rPr>
        <w:t>’s</w:t>
      </w:r>
      <w:r w:rsidRPr="0075306F">
        <w:rPr>
          <w:rFonts w:ascii="Times New Roman" w:hAnsi="Times New Roman" w:cs="Times New Roman"/>
          <w:sz w:val="24"/>
          <w:szCs w:val="24"/>
          <w:lang w:val="en-US"/>
        </w:rPr>
        <w:t xml:space="preserve"> employees and</w:t>
      </w:r>
      <w:r w:rsidR="00660DB9">
        <w:rPr>
          <w:rFonts w:ascii="Times New Roman" w:hAnsi="Times New Roman" w:cs="Times New Roman"/>
          <w:sz w:val="24"/>
          <w:szCs w:val="24"/>
          <w:lang w:val="en-US"/>
        </w:rPr>
        <w:t xml:space="preserve"> to</w:t>
      </w:r>
      <w:r w:rsidRPr="0075306F">
        <w:rPr>
          <w:rFonts w:ascii="Times New Roman" w:hAnsi="Times New Roman" w:cs="Times New Roman"/>
          <w:sz w:val="24"/>
          <w:szCs w:val="24"/>
          <w:lang w:val="en-US"/>
        </w:rPr>
        <w:t xml:space="preserve"> allow </w:t>
      </w:r>
      <w:r w:rsidR="00660DB9">
        <w:rPr>
          <w:rFonts w:ascii="Times New Roman" w:hAnsi="Times New Roman" w:cs="Times New Roman"/>
          <w:sz w:val="24"/>
          <w:szCs w:val="24"/>
          <w:lang w:val="en-US"/>
        </w:rPr>
        <w:t>them</w:t>
      </w:r>
      <w:r w:rsidRPr="0075306F">
        <w:rPr>
          <w:rFonts w:ascii="Times New Roman" w:hAnsi="Times New Roman" w:cs="Times New Roman"/>
          <w:sz w:val="24"/>
          <w:szCs w:val="24"/>
          <w:lang w:val="en-US"/>
        </w:rPr>
        <w:t xml:space="preserve"> to include in </w:t>
      </w:r>
      <w:r w:rsidR="00660DB9">
        <w:rPr>
          <w:rFonts w:ascii="Times New Roman" w:hAnsi="Times New Roman" w:cs="Times New Roman"/>
          <w:sz w:val="24"/>
          <w:szCs w:val="24"/>
          <w:lang w:val="en-US"/>
        </w:rPr>
        <w:t xml:space="preserve">an </w:t>
      </w:r>
      <w:r w:rsidRPr="0075306F">
        <w:rPr>
          <w:rFonts w:ascii="Times New Roman" w:hAnsi="Times New Roman" w:cs="Times New Roman"/>
          <w:sz w:val="24"/>
          <w:szCs w:val="24"/>
          <w:lang w:val="en-US"/>
        </w:rPr>
        <w:t>individual insurance plan those clinics and medical services that are needed most to the employee and his family members. Regularly monitoring of new clinics and services offered in the corporate contract VMI is held, as well as monitoring of the quality of existing services of voluntary health insurance.</w:t>
      </w:r>
    </w:p>
    <w:p w:rsidR="0075306F" w:rsidRPr="0075306F" w:rsidRDefault="0075306F" w:rsidP="0075306F">
      <w:pPr>
        <w:spacing w:after="120" w:line="240" w:lineRule="auto"/>
        <w:ind w:firstLine="567"/>
        <w:jc w:val="both"/>
        <w:rPr>
          <w:rFonts w:ascii="Times New Roman" w:hAnsi="Times New Roman" w:cs="Times New Roman"/>
          <w:sz w:val="24"/>
          <w:szCs w:val="24"/>
          <w:lang w:val="en-US"/>
        </w:rPr>
      </w:pPr>
      <w:r w:rsidRPr="0075306F">
        <w:rPr>
          <w:rFonts w:ascii="Times New Roman" w:hAnsi="Times New Roman" w:cs="Times New Roman"/>
          <w:sz w:val="24"/>
          <w:szCs w:val="24"/>
          <w:lang w:val="en-US"/>
        </w:rPr>
        <w:t xml:space="preserve">In 2013, taking into account the wishes of employees, corporate VMI programs included an option to purchase medicines prescribed by </w:t>
      </w:r>
      <w:r w:rsidR="00660DB9">
        <w:rPr>
          <w:rFonts w:ascii="Times New Roman" w:hAnsi="Times New Roman" w:cs="Times New Roman"/>
          <w:sz w:val="24"/>
          <w:szCs w:val="24"/>
          <w:lang w:val="en-US"/>
        </w:rPr>
        <w:t>a</w:t>
      </w:r>
      <w:r w:rsidRPr="0075306F">
        <w:rPr>
          <w:rFonts w:ascii="Times New Roman" w:hAnsi="Times New Roman" w:cs="Times New Roman"/>
          <w:sz w:val="24"/>
          <w:szCs w:val="24"/>
          <w:lang w:val="en-US"/>
        </w:rPr>
        <w:t xml:space="preserve"> doctor due to </w:t>
      </w:r>
      <w:r w:rsidR="00660DB9">
        <w:rPr>
          <w:rFonts w:ascii="Times New Roman" w:hAnsi="Times New Roman" w:cs="Times New Roman"/>
          <w:sz w:val="24"/>
          <w:szCs w:val="24"/>
          <w:lang w:val="en-US"/>
        </w:rPr>
        <w:t xml:space="preserve">the </w:t>
      </w:r>
      <w:r w:rsidRPr="0075306F">
        <w:rPr>
          <w:rFonts w:ascii="Times New Roman" w:hAnsi="Times New Roman" w:cs="Times New Roman"/>
          <w:sz w:val="24"/>
          <w:szCs w:val="24"/>
          <w:lang w:val="en-US"/>
        </w:rPr>
        <w:t xml:space="preserve">insurance premium for </w:t>
      </w:r>
      <w:r w:rsidR="00660DB9">
        <w:rPr>
          <w:rFonts w:ascii="Times New Roman" w:hAnsi="Times New Roman" w:cs="Times New Roman"/>
          <w:sz w:val="24"/>
          <w:szCs w:val="24"/>
          <w:lang w:val="en-US"/>
        </w:rPr>
        <w:t xml:space="preserve">a </w:t>
      </w:r>
      <w:r w:rsidRPr="0075306F">
        <w:rPr>
          <w:rFonts w:ascii="Times New Roman" w:hAnsi="Times New Roman" w:cs="Times New Roman"/>
          <w:sz w:val="24"/>
          <w:szCs w:val="24"/>
          <w:lang w:val="en-US"/>
        </w:rPr>
        <w:t>corporate contract of voluntary medical insurance.</w:t>
      </w:r>
    </w:p>
    <w:p w:rsidR="0075306F" w:rsidRPr="0075306F" w:rsidRDefault="00660DB9" w:rsidP="0075306F">
      <w:pPr>
        <w:spacing w:after="12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i</w:t>
      </w:r>
      <w:r w:rsidR="0075306F" w:rsidRPr="0075306F">
        <w:rPr>
          <w:rFonts w:ascii="Times New Roman" w:hAnsi="Times New Roman" w:cs="Times New Roman"/>
          <w:sz w:val="24"/>
          <w:szCs w:val="24"/>
          <w:lang w:val="en-US"/>
        </w:rPr>
        <w:t xml:space="preserve">nformation on the conditions of insurance is achieved through complete transparency and accessibility of materials about programs for employees and their families on the corporate portal, and provision of </w:t>
      </w:r>
      <w:r>
        <w:rPr>
          <w:rFonts w:ascii="Times New Roman" w:hAnsi="Times New Roman" w:cs="Times New Roman"/>
          <w:sz w:val="24"/>
          <w:szCs w:val="24"/>
          <w:lang w:val="en-US"/>
        </w:rPr>
        <w:t xml:space="preserve">an </w:t>
      </w:r>
      <w:r w:rsidR="0075306F" w:rsidRPr="0075306F">
        <w:rPr>
          <w:rFonts w:ascii="Times New Roman" w:hAnsi="Times New Roman" w:cs="Times New Roman"/>
          <w:sz w:val="24"/>
          <w:szCs w:val="24"/>
          <w:lang w:val="en-US"/>
        </w:rPr>
        <w:t xml:space="preserve">advisory support to employees. In 2013, the process of forming individual VMI plans was automated. In addition, the employees have online access to </w:t>
      </w:r>
      <w:r>
        <w:rPr>
          <w:rFonts w:ascii="Times New Roman" w:hAnsi="Times New Roman" w:cs="Times New Roman"/>
          <w:sz w:val="24"/>
          <w:szCs w:val="24"/>
          <w:lang w:val="en-US"/>
        </w:rPr>
        <w:t xml:space="preserve">the </w:t>
      </w:r>
      <w:r w:rsidR="0075306F" w:rsidRPr="0075306F">
        <w:rPr>
          <w:rFonts w:ascii="Times New Roman" w:hAnsi="Times New Roman" w:cs="Times New Roman"/>
          <w:sz w:val="24"/>
          <w:szCs w:val="24"/>
          <w:lang w:val="en-US"/>
        </w:rPr>
        <w:t>information on the conditions of receiving of various medical services.</w:t>
      </w:r>
    </w:p>
    <w:p w:rsidR="0075306F" w:rsidRPr="0075306F" w:rsidRDefault="0075306F" w:rsidP="0075306F">
      <w:pPr>
        <w:spacing w:after="120" w:line="240" w:lineRule="auto"/>
        <w:ind w:firstLine="567"/>
        <w:jc w:val="both"/>
        <w:rPr>
          <w:rFonts w:ascii="Times New Roman" w:hAnsi="Times New Roman" w:cs="Times New Roman"/>
          <w:sz w:val="24"/>
          <w:szCs w:val="24"/>
          <w:lang w:val="en-US"/>
        </w:rPr>
      </w:pPr>
    </w:p>
    <w:p w:rsidR="0075306F" w:rsidRPr="0075306F" w:rsidRDefault="0075306F" w:rsidP="0075306F">
      <w:pPr>
        <w:spacing w:before="100" w:after="120" w:line="240" w:lineRule="auto"/>
        <w:contextualSpacing/>
        <w:jc w:val="center"/>
        <w:rPr>
          <w:rFonts w:ascii="Times New Roman" w:hAnsi="Times New Roman" w:cs="Times New Roman"/>
          <w:sz w:val="24"/>
          <w:szCs w:val="24"/>
          <w:lang w:val="en-US"/>
        </w:rPr>
      </w:pPr>
      <w:r w:rsidRPr="0075306F">
        <w:rPr>
          <w:rFonts w:ascii="Times New Roman" w:hAnsi="Times New Roman" w:cs="Times New Roman"/>
          <w:sz w:val="24"/>
          <w:szCs w:val="24"/>
          <w:lang w:val="en-US"/>
        </w:rPr>
        <w:t>Training and development</w:t>
      </w:r>
    </w:p>
    <w:p w:rsidR="0075306F" w:rsidRPr="0075306F" w:rsidRDefault="0075306F" w:rsidP="0075306F">
      <w:pPr>
        <w:spacing w:after="120" w:line="240" w:lineRule="auto"/>
        <w:ind w:firstLine="567"/>
        <w:jc w:val="both"/>
        <w:rPr>
          <w:rFonts w:ascii="Times New Roman" w:hAnsi="Times New Roman" w:cs="Times New Roman"/>
          <w:sz w:val="24"/>
          <w:szCs w:val="24"/>
          <w:lang w:val="en-US"/>
        </w:rPr>
      </w:pPr>
      <w:r w:rsidRPr="0075306F">
        <w:rPr>
          <w:rFonts w:ascii="Times New Roman" w:hAnsi="Times New Roman" w:cs="Times New Roman"/>
          <w:sz w:val="24"/>
          <w:szCs w:val="24"/>
          <w:lang w:val="en-US"/>
        </w:rPr>
        <w:t xml:space="preserve">In 2013 in the field of training and development of staff the following key tasks </w:t>
      </w:r>
      <w:r w:rsidR="00C76E63">
        <w:rPr>
          <w:rFonts w:ascii="Times New Roman" w:hAnsi="Times New Roman" w:cs="Times New Roman"/>
          <w:sz w:val="24"/>
          <w:szCs w:val="24"/>
          <w:lang w:val="en-US"/>
        </w:rPr>
        <w:t xml:space="preserve">were </w:t>
      </w:r>
      <w:proofErr w:type="spellStart"/>
      <w:r w:rsidR="00C76E63">
        <w:rPr>
          <w:rFonts w:ascii="Times New Roman" w:hAnsi="Times New Roman" w:cs="Times New Roman"/>
          <w:sz w:val="24"/>
          <w:szCs w:val="24"/>
          <w:lang w:val="en-US"/>
        </w:rPr>
        <w:t>pe</w:t>
      </w:r>
      <w:r w:rsidRPr="0075306F">
        <w:rPr>
          <w:rFonts w:ascii="Times New Roman" w:hAnsi="Times New Roman" w:cs="Times New Roman"/>
          <w:sz w:val="24"/>
          <w:szCs w:val="24"/>
          <w:lang w:val="en-US"/>
        </w:rPr>
        <w:t>form</w:t>
      </w:r>
      <w:r w:rsidR="00C76E63">
        <w:rPr>
          <w:rFonts w:ascii="Times New Roman" w:hAnsi="Times New Roman" w:cs="Times New Roman"/>
          <w:sz w:val="24"/>
          <w:szCs w:val="24"/>
          <w:lang w:val="en-US"/>
        </w:rPr>
        <w:t>ed</w:t>
      </w:r>
      <w:proofErr w:type="spellEnd"/>
      <w:r w:rsidRPr="0075306F">
        <w:rPr>
          <w:rFonts w:ascii="Times New Roman" w:hAnsi="Times New Roman" w:cs="Times New Roman"/>
          <w:sz w:val="24"/>
          <w:szCs w:val="24"/>
          <w:lang w:val="en-US"/>
        </w:rPr>
        <w:t>:</w:t>
      </w:r>
    </w:p>
    <w:p w:rsidR="0075306F" w:rsidRPr="0075306F" w:rsidRDefault="0075306F" w:rsidP="00472CA4">
      <w:pPr>
        <w:numPr>
          <w:ilvl w:val="0"/>
          <w:numId w:val="25"/>
        </w:numPr>
        <w:spacing w:after="120" w:line="240" w:lineRule="auto"/>
        <w:ind w:left="1417" w:hanging="567"/>
        <w:contextualSpacing/>
        <w:jc w:val="both"/>
        <w:rPr>
          <w:rFonts w:ascii="Times New Roman" w:hAnsi="Times New Roman" w:cs="Times New Roman"/>
          <w:sz w:val="24"/>
          <w:szCs w:val="24"/>
          <w:lang w:val="en-US"/>
        </w:rPr>
      </w:pPr>
      <w:r w:rsidRPr="0075306F">
        <w:rPr>
          <w:rFonts w:ascii="Times New Roman" w:hAnsi="Times New Roman" w:cs="Times New Roman"/>
          <w:sz w:val="24"/>
          <w:szCs w:val="24"/>
          <w:lang w:val="en-US"/>
        </w:rPr>
        <w:t>implementation of the updated principles of the system of personnel assessment;</w:t>
      </w:r>
    </w:p>
    <w:p w:rsidR="0075306F" w:rsidRPr="0075306F" w:rsidRDefault="0075306F" w:rsidP="00472CA4">
      <w:pPr>
        <w:numPr>
          <w:ilvl w:val="0"/>
          <w:numId w:val="25"/>
        </w:numPr>
        <w:spacing w:after="120" w:line="240" w:lineRule="auto"/>
        <w:ind w:left="1417" w:hanging="567"/>
        <w:contextualSpacing/>
        <w:jc w:val="both"/>
        <w:rPr>
          <w:rFonts w:ascii="Times New Roman" w:hAnsi="Times New Roman" w:cs="Times New Roman"/>
          <w:sz w:val="24"/>
          <w:szCs w:val="24"/>
          <w:lang w:val="en-US"/>
        </w:rPr>
      </w:pPr>
      <w:r w:rsidRPr="0075306F">
        <w:rPr>
          <w:rFonts w:ascii="Times New Roman" w:hAnsi="Times New Roman" w:cs="Times New Roman"/>
          <w:sz w:val="24"/>
          <w:szCs w:val="24"/>
          <w:lang w:val="en-US"/>
        </w:rPr>
        <w:t>development of key middle managers;</w:t>
      </w:r>
    </w:p>
    <w:p w:rsidR="0075306F" w:rsidRPr="0075306F" w:rsidRDefault="0075306F" w:rsidP="00472CA4">
      <w:pPr>
        <w:numPr>
          <w:ilvl w:val="0"/>
          <w:numId w:val="25"/>
        </w:numPr>
        <w:spacing w:after="120" w:line="240" w:lineRule="auto"/>
        <w:ind w:left="1417" w:hanging="567"/>
        <w:contextualSpacing/>
        <w:jc w:val="both"/>
        <w:rPr>
          <w:rFonts w:ascii="Times New Roman" w:hAnsi="Times New Roman" w:cs="Times New Roman"/>
          <w:sz w:val="24"/>
          <w:szCs w:val="24"/>
          <w:lang w:val="en-US"/>
        </w:rPr>
      </w:pPr>
      <w:r w:rsidRPr="0075306F">
        <w:rPr>
          <w:rFonts w:ascii="Times New Roman" w:hAnsi="Times New Roman" w:cs="Times New Roman"/>
          <w:sz w:val="24"/>
          <w:szCs w:val="24"/>
          <w:lang w:val="en-US"/>
        </w:rPr>
        <w:t>creation of the system of internal training and development for managers of middle management and specialists;</w:t>
      </w:r>
    </w:p>
    <w:p w:rsidR="0075306F" w:rsidRPr="0075306F" w:rsidRDefault="0075306F" w:rsidP="00472CA4">
      <w:pPr>
        <w:numPr>
          <w:ilvl w:val="0"/>
          <w:numId w:val="25"/>
        </w:numPr>
        <w:spacing w:after="120" w:line="240" w:lineRule="auto"/>
        <w:ind w:left="1417" w:hanging="567"/>
        <w:contextualSpacing/>
        <w:jc w:val="both"/>
        <w:rPr>
          <w:rFonts w:ascii="Times New Roman" w:hAnsi="Times New Roman" w:cs="Times New Roman"/>
          <w:sz w:val="24"/>
          <w:szCs w:val="24"/>
          <w:lang w:val="en-US"/>
        </w:rPr>
      </w:pPr>
      <w:proofErr w:type="gramStart"/>
      <w:r w:rsidRPr="0075306F">
        <w:rPr>
          <w:rFonts w:ascii="Times New Roman" w:hAnsi="Times New Roman" w:cs="Times New Roman"/>
          <w:sz w:val="24"/>
          <w:szCs w:val="24"/>
          <w:lang w:val="en-US"/>
        </w:rPr>
        <w:t>cooperating</w:t>
      </w:r>
      <w:proofErr w:type="gramEnd"/>
      <w:r w:rsidR="00902AA6">
        <w:rPr>
          <w:rFonts w:ascii="Times New Roman" w:hAnsi="Times New Roman" w:cs="Times New Roman"/>
          <w:sz w:val="24"/>
          <w:szCs w:val="24"/>
          <w:lang w:val="en-US"/>
        </w:rPr>
        <w:t xml:space="preserve"> </w:t>
      </w:r>
      <w:r w:rsidRPr="0075306F">
        <w:rPr>
          <w:rFonts w:ascii="Times New Roman" w:hAnsi="Times New Roman" w:cs="Times New Roman"/>
          <w:sz w:val="24"/>
          <w:szCs w:val="24"/>
          <w:lang w:val="en-US"/>
        </w:rPr>
        <w:t xml:space="preserve">with </w:t>
      </w:r>
      <w:r w:rsidR="00902AA6">
        <w:rPr>
          <w:rFonts w:ascii="Times New Roman" w:hAnsi="Times New Roman" w:cs="Times New Roman"/>
          <w:sz w:val="24"/>
          <w:szCs w:val="24"/>
          <w:lang w:val="en-US"/>
        </w:rPr>
        <w:t>u</w:t>
      </w:r>
      <w:r w:rsidRPr="0075306F">
        <w:rPr>
          <w:rFonts w:ascii="Times New Roman" w:hAnsi="Times New Roman" w:cs="Times New Roman"/>
          <w:sz w:val="24"/>
          <w:szCs w:val="24"/>
          <w:lang w:val="en-US"/>
        </w:rPr>
        <w:t>niversities for educational practice/internships (for students) and graduate recruitment (for young specialists). .</w:t>
      </w:r>
    </w:p>
    <w:p w:rsidR="0075306F" w:rsidRPr="0075306F" w:rsidRDefault="0075306F" w:rsidP="0075306F">
      <w:pPr>
        <w:spacing w:after="120" w:line="240" w:lineRule="auto"/>
        <w:ind w:firstLine="567"/>
        <w:jc w:val="both"/>
        <w:rPr>
          <w:rFonts w:ascii="Times New Roman" w:hAnsi="Times New Roman" w:cs="Times New Roman"/>
          <w:sz w:val="24"/>
          <w:szCs w:val="24"/>
          <w:lang w:val="en-US"/>
        </w:rPr>
      </w:pPr>
    </w:p>
    <w:p w:rsidR="0075306F" w:rsidRPr="0075306F" w:rsidRDefault="0075306F" w:rsidP="0075306F">
      <w:pPr>
        <w:spacing w:after="120" w:line="240" w:lineRule="auto"/>
        <w:ind w:firstLine="567"/>
        <w:jc w:val="both"/>
        <w:rPr>
          <w:rFonts w:ascii="Times New Roman" w:hAnsi="Times New Roman" w:cs="Times New Roman"/>
          <w:sz w:val="24"/>
          <w:szCs w:val="24"/>
          <w:lang w:val="en-US"/>
        </w:rPr>
      </w:pPr>
      <w:r w:rsidRPr="0075306F">
        <w:rPr>
          <w:rFonts w:ascii="Times New Roman" w:hAnsi="Times New Roman" w:cs="Times New Roman"/>
          <w:sz w:val="24"/>
          <w:szCs w:val="24"/>
          <w:lang w:val="en-US"/>
        </w:rPr>
        <w:t>In the reporting period the projects in the following areas have been successfully implemented:</w:t>
      </w:r>
    </w:p>
    <w:p w:rsidR="0075306F" w:rsidRPr="0075306F" w:rsidRDefault="0075306F" w:rsidP="0075306F">
      <w:pPr>
        <w:spacing w:after="120" w:line="240" w:lineRule="auto"/>
        <w:ind w:firstLine="567"/>
        <w:jc w:val="both"/>
        <w:rPr>
          <w:rFonts w:ascii="Times New Roman" w:hAnsi="Times New Roman" w:cs="Times New Roman"/>
          <w:sz w:val="24"/>
          <w:szCs w:val="24"/>
          <w:lang w:val="en-US"/>
        </w:rPr>
      </w:pPr>
    </w:p>
    <w:p w:rsidR="0075306F" w:rsidRPr="0075306F" w:rsidRDefault="0075306F" w:rsidP="0075306F">
      <w:pPr>
        <w:spacing w:before="100" w:after="120" w:line="240" w:lineRule="auto"/>
        <w:jc w:val="center"/>
        <w:rPr>
          <w:rFonts w:ascii="Times New Roman" w:hAnsi="Times New Roman" w:cs="Times New Roman"/>
          <w:i/>
          <w:sz w:val="24"/>
          <w:szCs w:val="24"/>
          <w:lang w:val="en-US"/>
        </w:rPr>
      </w:pPr>
      <w:r w:rsidRPr="0075306F">
        <w:rPr>
          <w:rFonts w:ascii="Times New Roman" w:hAnsi="Times New Roman" w:cs="Times New Roman"/>
          <w:i/>
          <w:sz w:val="24"/>
          <w:szCs w:val="24"/>
          <w:lang w:val="en-US"/>
        </w:rPr>
        <w:t>Corporate programs of Bank management development</w:t>
      </w:r>
    </w:p>
    <w:p w:rsidR="0075306F" w:rsidRPr="0075306F" w:rsidRDefault="0075306F" w:rsidP="0075306F">
      <w:pPr>
        <w:spacing w:after="120" w:line="240" w:lineRule="auto"/>
        <w:ind w:firstLine="567"/>
        <w:jc w:val="both"/>
        <w:rPr>
          <w:rFonts w:ascii="Times New Roman" w:hAnsi="Times New Roman" w:cs="Times New Roman"/>
          <w:sz w:val="24"/>
          <w:szCs w:val="24"/>
          <w:lang w:val="en-US"/>
        </w:rPr>
      </w:pPr>
      <w:proofErr w:type="gramStart"/>
      <w:r w:rsidRPr="0075306F">
        <w:rPr>
          <w:rFonts w:ascii="Times New Roman" w:hAnsi="Times New Roman" w:cs="Times New Roman"/>
          <w:sz w:val="24"/>
          <w:szCs w:val="24"/>
          <w:lang w:val="en-US"/>
        </w:rPr>
        <w:t>Program “Business University"</w:t>
      </w:r>
      <w:r w:rsidR="00902AA6">
        <w:rPr>
          <w:rFonts w:ascii="Times New Roman" w:hAnsi="Times New Roman" w:cs="Times New Roman"/>
          <w:sz w:val="24"/>
          <w:szCs w:val="24"/>
          <w:lang w:val="en-US"/>
        </w:rPr>
        <w:t xml:space="preserve"> </w:t>
      </w:r>
      <w:r w:rsidRPr="0075306F">
        <w:rPr>
          <w:rFonts w:ascii="Times New Roman" w:hAnsi="Times New Roman" w:cs="Times New Roman"/>
          <w:sz w:val="24"/>
          <w:szCs w:val="24"/>
          <w:lang w:val="en-US"/>
        </w:rPr>
        <w:t>for</w:t>
      </w:r>
      <w:r w:rsidR="00902AA6">
        <w:rPr>
          <w:rFonts w:ascii="Times New Roman" w:hAnsi="Times New Roman" w:cs="Times New Roman"/>
          <w:sz w:val="24"/>
          <w:szCs w:val="24"/>
          <w:lang w:val="en-US"/>
        </w:rPr>
        <w:t xml:space="preserve"> </w:t>
      </w:r>
      <w:r w:rsidRPr="0075306F">
        <w:rPr>
          <w:rFonts w:ascii="Times New Roman" w:hAnsi="Times New Roman" w:cs="Times New Roman"/>
          <w:sz w:val="24"/>
          <w:szCs w:val="24"/>
          <w:lang w:val="en-US"/>
        </w:rPr>
        <w:t>the heads of key departments of the Bank was launched.</w:t>
      </w:r>
      <w:proofErr w:type="gramEnd"/>
      <w:r w:rsidRPr="0075306F">
        <w:rPr>
          <w:rFonts w:ascii="Times New Roman" w:hAnsi="Times New Roman" w:cs="Times New Roman"/>
          <w:sz w:val="24"/>
          <w:szCs w:val="24"/>
          <w:lang w:val="en-US"/>
        </w:rPr>
        <w:t xml:space="preserve"> This program is based on a corporate model of assessment of competencies of managers and their level of training that allows to develop the necessary business skills and to supple professional skills by the necessary theory. The program lasts for 2 years, and for its implementation professional coaches were invited, and to conduct master classes reputable speakers were attracted.</w:t>
      </w:r>
    </w:p>
    <w:p w:rsidR="0075306F" w:rsidRPr="0075306F" w:rsidRDefault="0075306F" w:rsidP="0075306F">
      <w:pPr>
        <w:spacing w:before="100" w:after="120" w:line="240" w:lineRule="auto"/>
        <w:jc w:val="center"/>
        <w:rPr>
          <w:rFonts w:ascii="Times New Roman" w:hAnsi="Times New Roman" w:cs="Times New Roman"/>
          <w:i/>
          <w:sz w:val="24"/>
          <w:szCs w:val="24"/>
          <w:lang w:val="en-US"/>
        </w:rPr>
      </w:pPr>
      <w:r w:rsidRPr="0075306F">
        <w:rPr>
          <w:rFonts w:ascii="Times New Roman" w:hAnsi="Times New Roman" w:cs="Times New Roman"/>
          <w:i/>
          <w:sz w:val="24"/>
          <w:szCs w:val="24"/>
          <w:lang w:val="en-US"/>
        </w:rPr>
        <w:t>Internal Training</w:t>
      </w:r>
    </w:p>
    <w:p w:rsidR="0075306F" w:rsidRPr="0075306F" w:rsidRDefault="0075306F" w:rsidP="0075306F">
      <w:pPr>
        <w:spacing w:after="120" w:line="240" w:lineRule="auto"/>
        <w:ind w:firstLine="567"/>
        <w:jc w:val="both"/>
        <w:rPr>
          <w:rFonts w:ascii="Times New Roman" w:hAnsi="Times New Roman" w:cs="Times New Roman"/>
          <w:sz w:val="24"/>
          <w:szCs w:val="24"/>
          <w:lang w:val="en-US"/>
        </w:rPr>
      </w:pPr>
      <w:r w:rsidRPr="0075306F">
        <w:rPr>
          <w:rFonts w:ascii="Times New Roman" w:hAnsi="Times New Roman" w:cs="Times New Roman"/>
          <w:sz w:val="24"/>
          <w:szCs w:val="24"/>
          <w:lang w:val="en-US"/>
        </w:rPr>
        <w:t xml:space="preserve">During the reporting period the number of internal trainings increased significantly to develop the necessary corporate competencies of employees and to give them new knowledge and skills. Internal trainings are mainly </w:t>
      </w:r>
      <w:r w:rsidR="00C76E63">
        <w:rPr>
          <w:rFonts w:ascii="Times New Roman" w:hAnsi="Times New Roman" w:cs="Times New Roman"/>
          <w:sz w:val="24"/>
          <w:szCs w:val="24"/>
          <w:lang w:val="en-US"/>
        </w:rPr>
        <w:t>designed</w:t>
      </w:r>
      <w:r w:rsidRPr="0075306F">
        <w:rPr>
          <w:rFonts w:ascii="Times New Roman" w:hAnsi="Times New Roman" w:cs="Times New Roman"/>
          <w:sz w:val="24"/>
          <w:szCs w:val="24"/>
          <w:lang w:val="en-US"/>
        </w:rPr>
        <w:t xml:space="preserve"> </w:t>
      </w:r>
      <w:r w:rsidR="00C76E63">
        <w:rPr>
          <w:rFonts w:ascii="Times New Roman" w:hAnsi="Times New Roman" w:cs="Times New Roman"/>
          <w:sz w:val="24"/>
          <w:szCs w:val="24"/>
          <w:lang w:val="en-US"/>
        </w:rPr>
        <w:t>for</w:t>
      </w:r>
      <w:r w:rsidRPr="0075306F">
        <w:rPr>
          <w:rFonts w:ascii="Times New Roman" w:hAnsi="Times New Roman" w:cs="Times New Roman"/>
          <w:sz w:val="24"/>
          <w:szCs w:val="24"/>
          <w:lang w:val="en-US"/>
        </w:rPr>
        <w:t xml:space="preserve"> junior level managers and specialists.</w:t>
      </w:r>
      <w:r w:rsidR="00C76E63">
        <w:rPr>
          <w:rFonts w:ascii="Times New Roman" w:hAnsi="Times New Roman" w:cs="Times New Roman"/>
          <w:sz w:val="24"/>
          <w:szCs w:val="24"/>
          <w:lang w:val="en-US"/>
        </w:rPr>
        <w:t xml:space="preserve"> The w</w:t>
      </w:r>
      <w:r w:rsidRPr="0075306F">
        <w:rPr>
          <w:rFonts w:ascii="Times New Roman" w:hAnsi="Times New Roman" w:cs="Times New Roman"/>
          <w:sz w:val="24"/>
          <w:szCs w:val="24"/>
          <w:lang w:val="en-US"/>
        </w:rPr>
        <w:t>ork undertaken in this area during the reporting period is as follows:</w:t>
      </w:r>
    </w:p>
    <w:p w:rsidR="0075306F" w:rsidRPr="0075306F" w:rsidRDefault="0075306F" w:rsidP="00472CA4">
      <w:pPr>
        <w:numPr>
          <w:ilvl w:val="0"/>
          <w:numId w:val="26"/>
        </w:numPr>
        <w:spacing w:after="120" w:line="240" w:lineRule="auto"/>
        <w:ind w:left="1417" w:hanging="567"/>
        <w:contextualSpacing/>
        <w:jc w:val="both"/>
        <w:rPr>
          <w:rFonts w:ascii="Times New Roman" w:hAnsi="Times New Roman" w:cs="Times New Roman"/>
          <w:sz w:val="24"/>
          <w:szCs w:val="24"/>
          <w:lang w:val="en-US"/>
        </w:rPr>
      </w:pPr>
      <w:r w:rsidRPr="0075306F">
        <w:rPr>
          <w:rFonts w:ascii="Times New Roman" w:hAnsi="Times New Roman" w:cs="Times New Roman"/>
          <w:sz w:val="24"/>
          <w:szCs w:val="24"/>
          <w:lang w:val="en-US"/>
        </w:rPr>
        <w:t xml:space="preserve">Training matrix formed, on the basis of </w:t>
      </w:r>
      <w:r w:rsidRPr="00C76E63">
        <w:rPr>
          <w:rFonts w:ascii="Times New Roman" w:hAnsi="Times New Roman" w:cs="Times New Roman"/>
          <w:sz w:val="24"/>
          <w:szCs w:val="24"/>
          <w:lang w:val="en-US"/>
        </w:rPr>
        <w:t>which</w:t>
      </w:r>
      <w:r w:rsidRPr="0075306F">
        <w:rPr>
          <w:rFonts w:ascii="Times New Roman" w:hAnsi="Times New Roman" w:cs="Times New Roman"/>
          <w:sz w:val="24"/>
          <w:szCs w:val="24"/>
          <w:lang w:val="en-US"/>
        </w:rPr>
        <w:t xml:space="preserve"> the plan and the content of training programs were developed</w:t>
      </w:r>
    </w:p>
    <w:p w:rsidR="0075306F" w:rsidRPr="0075306F" w:rsidRDefault="0075306F" w:rsidP="00472CA4">
      <w:pPr>
        <w:numPr>
          <w:ilvl w:val="0"/>
          <w:numId w:val="25"/>
        </w:numPr>
        <w:spacing w:after="120" w:line="240" w:lineRule="auto"/>
        <w:ind w:left="1417" w:hanging="567"/>
        <w:contextualSpacing/>
        <w:jc w:val="both"/>
        <w:rPr>
          <w:rFonts w:ascii="Times New Roman" w:hAnsi="Times New Roman" w:cs="Times New Roman"/>
          <w:sz w:val="24"/>
          <w:szCs w:val="24"/>
          <w:lang w:val="en-US"/>
        </w:rPr>
      </w:pPr>
      <w:r w:rsidRPr="0075306F">
        <w:rPr>
          <w:rFonts w:ascii="Times New Roman" w:hAnsi="Times New Roman" w:cs="Times New Roman"/>
          <w:sz w:val="24"/>
          <w:szCs w:val="24"/>
          <w:lang w:val="en-US"/>
        </w:rPr>
        <w:t xml:space="preserve">10 programs were </w:t>
      </w:r>
      <w:r w:rsidR="00C76E63">
        <w:rPr>
          <w:rFonts w:ascii="Times New Roman" w:hAnsi="Times New Roman" w:cs="Times New Roman"/>
          <w:sz w:val="24"/>
          <w:szCs w:val="24"/>
          <w:lang w:val="en-US"/>
        </w:rPr>
        <w:t>worked out</w:t>
      </w:r>
      <w:r w:rsidRPr="0075306F">
        <w:rPr>
          <w:rFonts w:ascii="Times New Roman" w:hAnsi="Times New Roman" w:cs="Times New Roman"/>
          <w:sz w:val="24"/>
          <w:szCs w:val="24"/>
          <w:lang w:val="en-US"/>
        </w:rPr>
        <w:t xml:space="preserve">, which </w:t>
      </w:r>
      <w:r w:rsidR="00C76E63">
        <w:rPr>
          <w:rFonts w:ascii="Times New Roman" w:hAnsi="Times New Roman" w:cs="Times New Roman"/>
          <w:sz w:val="24"/>
          <w:szCs w:val="24"/>
          <w:lang w:val="en-US"/>
        </w:rPr>
        <w:t xml:space="preserve">were used in </w:t>
      </w:r>
      <w:r w:rsidRPr="0075306F">
        <w:rPr>
          <w:rFonts w:ascii="Times New Roman" w:hAnsi="Times New Roman" w:cs="Times New Roman"/>
          <w:sz w:val="24"/>
          <w:szCs w:val="24"/>
          <w:lang w:val="en-US"/>
        </w:rPr>
        <w:t>train</w:t>
      </w:r>
      <w:r w:rsidR="00C76E63">
        <w:rPr>
          <w:rFonts w:ascii="Times New Roman" w:hAnsi="Times New Roman" w:cs="Times New Roman"/>
          <w:sz w:val="24"/>
          <w:szCs w:val="24"/>
          <w:lang w:val="en-US"/>
        </w:rPr>
        <w:t>ing of</w:t>
      </w:r>
      <w:r w:rsidRPr="0075306F">
        <w:rPr>
          <w:rFonts w:ascii="Times New Roman" w:hAnsi="Times New Roman" w:cs="Times New Roman"/>
          <w:sz w:val="24"/>
          <w:szCs w:val="24"/>
          <w:lang w:val="en-US"/>
        </w:rPr>
        <w:t xml:space="preserve"> 30 junior level managers and specialists.</w:t>
      </w:r>
    </w:p>
    <w:p w:rsidR="0075306F" w:rsidRPr="0075306F" w:rsidRDefault="0075306F" w:rsidP="0075306F">
      <w:pPr>
        <w:spacing w:after="120" w:line="240" w:lineRule="auto"/>
        <w:ind w:left="720" w:firstLine="567"/>
        <w:contextualSpacing/>
        <w:jc w:val="both"/>
        <w:rPr>
          <w:rFonts w:ascii="Times New Roman" w:hAnsi="Times New Roman" w:cs="Times New Roman"/>
          <w:sz w:val="24"/>
          <w:szCs w:val="24"/>
          <w:lang w:val="en-US"/>
        </w:rPr>
      </w:pPr>
    </w:p>
    <w:p w:rsidR="0075306F" w:rsidRPr="0075306F" w:rsidRDefault="0075306F" w:rsidP="0075306F">
      <w:pPr>
        <w:spacing w:before="100" w:after="120" w:line="240" w:lineRule="auto"/>
        <w:jc w:val="center"/>
        <w:rPr>
          <w:rFonts w:ascii="Times New Roman" w:hAnsi="Times New Roman" w:cs="Times New Roman"/>
          <w:i/>
          <w:sz w:val="24"/>
          <w:szCs w:val="24"/>
          <w:lang w:val="en-US"/>
        </w:rPr>
      </w:pPr>
      <w:r w:rsidRPr="0075306F">
        <w:rPr>
          <w:rFonts w:ascii="Times New Roman" w:hAnsi="Times New Roman" w:cs="Times New Roman"/>
          <w:sz w:val="24"/>
          <w:szCs w:val="24"/>
          <w:lang w:val="en-US"/>
        </w:rPr>
        <w:t>Distance learning courses</w:t>
      </w:r>
    </w:p>
    <w:p w:rsidR="0075306F" w:rsidRPr="0075306F" w:rsidRDefault="0075306F" w:rsidP="0075306F">
      <w:pPr>
        <w:spacing w:after="120" w:line="240" w:lineRule="auto"/>
        <w:ind w:firstLine="567"/>
        <w:jc w:val="both"/>
        <w:rPr>
          <w:rFonts w:ascii="Times New Roman" w:hAnsi="Times New Roman" w:cs="Times New Roman"/>
          <w:sz w:val="24"/>
          <w:szCs w:val="24"/>
          <w:lang w:val="en-US"/>
        </w:rPr>
      </w:pPr>
      <w:r w:rsidRPr="0075306F">
        <w:rPr>
          <w:rFonts w:ascii="Times New Roman" w:hAnsi="Times New Roman" w:cs="Times New Roman"/>
          <w:sz w:val="24"/>
          <w:szCs w:val="24"/>
          <w:lang w:val="en-US"/>
        </w:rPr>
        <w:t>Within the project Distance learning the courses was developed in the following areas of activity: business continuity, operational risks. These courses are required for the training of employees. In addition, 8 more developing programs were worked out to enhance the knowledge of employees in various areas of the Bank without discontinuing work.</w:t>
      </w:r>
    </w:p>
    <w:p w:rsidR="0075306F" w:rsidRPr="0075306F" w:rsidRDefault="0075306F" w:rsidP="0075306F">
      <w:pPr>
        <w:spacing w:after="120" w:line="240" w:lineRule="auto"/>
        <w:ind w:firstLine="567"/>
        <w:jc w:val="both"/>
        <w:rPr>
          <w:rFonts w:ascii="Times New Roman" w:hAnsi="Times New Roman" w:cs="Times New Roman"/>
          <w:sz w:val="24"/>
          <w:szCs w:val="24"/>
          <w:lang w:val="en-US"/>
        </w:rPr>
      </w:pPr>
    </w:p>
    <w:p w:rsidR="0075306F" w:rsidRPr="0075306F" w:rsidRDefault="0075306F" w:rsidP="0075306F">
      <w:pPr>
        <w:spacing w:before="100" w:after="120" w:line="240" w:lineRule="auto"/>
        <w:jc w:val="center"/>
        <w:rPr>
          <w:rFonts w:ascii="Times New Roman" w:hAnsi="Times New Roman" w:cs="Times New Roman"/>
          <w:i/>
          <w:sz w:val="24"/>
          <w:szCs w:val="24"/>
          <w:lang w:val="en-US"/>
        </w:rPr>
      </w:pPr>
      <w:r w:rsidRPr="0075306F">
        <w:rPr>
          <w:rFonts w:ascii="Times New Roman" w:hAnsi="Times New Roman" w:cs="Times New Roman"/>
          <w:i/>
          <w:sz w:val="24"/>
          <w:szCs w:val="24"/>
          <w:lang w:val="en-US"/>
        </w:rPr>
        <w:t>Increasing the level of professional qualifications</w:t>
      </w:r>
    </w:p>
    <w:p w:rsidR="0075306F" w:rsidRPr="0075306F" w:rsidRDefault="0075306F" w:rsidP="0075306F">
      <w:pPr>
        <w:spacing w:after="120" w:line="240" w:lineRule="auto"/>
        <w:ind w:firstLine="567"/>
        <w:contextualSpacing/>
        <w:jc w:val="both"/>
        <w:rPr>
          <w:rFonts w:ascii="Times New Roman" w:hAnsi="Times New Roman" w:cs="Times New Roman"/>
          <w:sz w:val="24"/>
          <w:szCs w:val="24"/>
          <w:lang w:val="en-US"/>
        </w:rPr>
      </w:pPr>
      <w:r w:rsidRPr="0075306F">
        <w:rPr>
          <w:rFonts w:ascii="Times New Roman" w:hAnsi="Times New Roman" w:cs="Times New Roman"/>
          <w:sz w:val="24"/>
          <w:szCs w:val="24"/>
          <w:lang w:val="en-US"/>
        </w:rPr>
        <w:t xml:space="preserve">An important component of the </w:t>
      </w:r>
      <w:r w:rsidR="00045064">
        <w:rPr>
          <w:rFonts w:ascii="Times New Roman" w:hAnsi="Times New Roman" w:cs="Times New Roman"/>
          <w:sz w:val="24"/>
          <w:szCs w:val="24"/>
          <w:lang w:val="en-US"/>
        </w:rPr>
        <w:t>training system of the</w:t>
      </w:r>
      <w:r w:rsidRPr="0075306F">
        <w:rPr>
          <w:rFonts w:ascii="Times New Roman" w:hAnsi="Times New Roman" w:cs="Times New Roman"/>
          <w:sz w:val="24"/>
          <w:szCs w:val="24"/>
          <w:lang w:val="en-US"/>
        </w:rPr>
        <w:t xml:space="preserve"> National Clearing Centre was a system of additional vocational training, providing training on topical issues of the company. In 2013, 74 employees of the Bank </w:t>
      </w:r>
      <w:r w:rsidR="00045064">
        <w:rPr>
          <w:rFonts w:ascii="Times New Roman" w:hAnsi="Times New Roman" w:cs="Times New Roman"/>
          <w:sz w:val="24"/>
          <w:szCs w:val="24"/>
          <w:lang w:val="en-US"/>
        </w:rPr>
        <w:t>were</w:t>
      </w:r>
      <w:r w:rsidRPr="0075306F">
        <w:rPr>
          <w:rFonts w:ascii="Times New Roman" w:hAnsi="Times New Roman" w:cs="Times New Roman"/>
          <w:sz w:val="24"/>
          <w:szCs w:val="24"/>
          <w:lang w:val="en-US"/>
        </w:rPr>
        <w:t xml:space="preserve"> trained</w:t>
      </w:r>
      <w:r w:rsidR="00241C23" w:rsidRPr="00241C23">
        <w:rPr>
          <w:rFonts w:ascii="Times New Roman" w:hAnsi="Times New Roman" w:cs="Times New Roman"/>
          <w:sz w:val="24"/>
          <w:szCs w:val="24"/>
          <w:lang w:val="en-US"/>
        </w:rPr>
        <w:t xml:space="preserve"> </w:t>
      </w:r>
      <w:r w:rsidR="00241C23">
        <w:rPr>
          <w:rFonts w:ascii="Times New Roman" w:hAnsi="Times New Roman" w:cs="Times New Roman"/>
          <w:sz w:val="24"/>
          <w:szCs w:val="24"/>
          <w:lang w:val="en-US"/>
        </w:rPr>
        <w:t>in accordance with</w:t>
      </w:r>
      <w:r w:rsidR="00045064">
        <w:rPr>
          <w:rFonts w:ascii="Times New Roman" w:hAnsi="Times New Roman" w:cs="Times New Roman"/>
          <w:sz w:val="24"/>
          <w:szCs w:val="24"/>
          <w:lang w:val="en-US"/>
        </w:rPr>
        <w:t xml:space="preserve"> </w:t>
      </w:r>
      <w:r w:rsidRPr="0075306F">
        <w:rPr>
          <w:rFonts w:ascii="Times New Roman" w:hAnsi="Times New Roman" w:cs="Times New Roman"/>
          <w:sz w:val="24"/>
          <w:szCs w:val="24"/>
          <w:lang w:val="en-US"/>
        </w:rPr>
        <w:t>external programs, acquired new professional knowledge and exchanged experience with colleagues from financial and banking sector.</w:t>
      </w:r>
    </w:p>
    <w:p w:rsidR="0075306F" w:rsidRPr="00CC3507" w:rsidRDefault="0075306F" w:rsidP="00BF056B">
      <w:pPr>
        <w:spacing w:after="120" w:line="240" w:lineRule="auto"/>
        <w:ind w:firstLine="567"/>
        <w:jc w:val="both"/>
        <w:rPr>
          <w:rFonts w:ascii="Times New Roman" w:hAnsi="Times New Roman" w:cs="Times New Roman"/>
          <w:sz w:val="24"/>
          <w:szCs w:val="24"/>
          <w:lang w:val="en-US"/>
        </w:rPr>
      </w:pPr>
    </w:p>
    <w:p w:rsidR="00E04CA6" w:rsidRPr="003161C5" w:rsidRDefault="00E04CA6" w:rsidP="00E04CA6">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b/>
          <w:bCs/>
          <w:sz w:val="28"/>
          <w:szCs w:val="28"/>
          <w:lang w:val="en-US" w:eastAsia="ru-RU"/>
        </w:rPr>
      </w:pPr>
      <w:r w:rsidRPr="003161C5">
        <w:rPr>
          <w:rFonts w:ascii="Times New Roman" w:eastAsia="Times New Roman" w:hAnsi="Times New Roman" w:cs="Times New Roman"/>
          <w:b/>
          <w:bCs/>
          <w:sz w:val="28"/>
          <w:szCs w:val="28"/>
          <w:lang w:val="en-US" w:eastAsia="ru-RU"/>
        </w:rPr>
        <w:br w:type="page"/>
      </w:r>
    </w:p>
    <w:p w:rsidR="0026557A" w:rsidRPr="00BF056B" w:rsidRDefault="0026557A">
      <w:pPr>
        <w:rPr>
          <w:lang w:val="en-US"/>
        </w:rPr>
      </w:pPr>
    </w:p>
    <w:sectPr w:rsidR="0026557A" w:rsidRPr="00BF05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76C" w:rsidRDefault="0059676C" w:rsidP="00BF056B">
      <w:pPr>
        <w:spacing w:after="0" w:line="240" w:lineRule="auto"/>
      </w:pPr>
      <w:r>
        <w:separator/>
      </w:r>
    </w:p>
  </w:endnote>
  <w:endnote w:type="continuationSeparator" w:id="0">
    <w:p w:rsidR="0059676C" w:rsidRDefault="0059676C" w:rsidP="00BF0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Book Antiqua"/>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76C" w:rsidRDefault="0059676C" w:rsidP="00BF056B">
      <w:pPr>
        <w:spacing w:after="0" w:line="240" w:lineRule="auto"/>
      </w:pPr>
      <w:r>
        <w:separator/>
      </w:r>
    </w:p>
  </w:footnote>
  <w:footnote w:type="continuationSeparator" w:id="0">
    <w:p w:rsidR="0059676C" w:rsidRDefault="0059676C" w:rsidP="00BF056B">
      <w:pPr>
        <w:spacing w:after="0" w:line="240" w:lineRule="auto"/>
      </w:pPr>
      <w:r>
        <w:continuationSeparator/>
      </w:r>
    </w:p>
  </w:footnote>
  <w:footnote w:id="1">
    <w:p w:rsidR="00951249" w:rsidRPr="005A4FE8" w:rsidRDefault="00951249" w:rsidP="00371CC9">
      <w:pPr>
        <w:pStyle w:val="a3"/>
        <w:jc w:val="both"/>
        <w:rPr>
          <w:lang w:val="en-GB"/>
        </w:rPr>
      </w:pPr>
      <w:r w:rsidRPr="00D73A94">
        <w:rPr>
          <w:rStyle w:val="a5"/>
        </w:rPr>
        <w:footnoteRef/>
      </w:r>
      <w:r w:rsidRPr="005A4FE8">
        <w:rPr>
          <w:lang w:val="en-GB"/>
        </w:rPr>
        <w:t xml:space="preserve"> </w:t>
      </w:r>
      <w:r>
        <w:rPr>
          <w:lang w:val="en-GB"/>
        </w:rPr>
        <w:t>Hereinafter</w:t>
      </w:r>
      <w:r w:rsidRPr="005A4FE8">
        <w:rPr>
          <w:lang w:val="en-GB"/>
        </w:rPr>
        <w:t>:</w:t>
      </w:r>
      <w:r>
        <w:rPr>
          <w:lang w:val="en-GB"/>
        </w:rPr>
        <w:t xml:space="preserve"> Day T is the day of the conclusion of transaction</w:t>
      </w:r>
      <w:r w:rsidRPr="005A4FE8">
        <w:rPr>
          <w:lang w:val="en-GB"/>
        </w:rPr>
        <w:t>.</w:t>
      </w:r>
    </w:p>
  </w:footnote>
  <w:footnote w:id="2">
    <w:p w:rsidR="00951249" w:rsidRPr="004E4554" w:rsidRDefault="00951249" w:rsidP="00371CC9">
      <w:pPr>
        <w:pStyle w:val="a3"/>
        <w:jc w:val="both"/>
        <w:rPr>
          <w:lang w:val="en-GB"/>
        </w:rPr>
      </w:pPr>
      <w:r>
        <w:rPr>
          <w:rStyle w:val="a5"/>
        </w:rPr>
        <w:footnoteRef/>
      </w:r>
      <w:r w:rsidRPr="004E4554">
        <w:rPr>
          <w:lang w:val="en-GB"/>
        </w:rPr>
        <w:t xml:space="preserve"> </w:t>
      </w:r>
      <w:r>
        <w:rPr>
          <w:lang w:val="en-GB"/>
        </w:rPr>
        <w:t>Hereinafter: Day T is the day of the conclusion of transaction</w:t>
      </w:r>
      <w:r w:rsidRPr="005A4FE8">
        <w:rPr>
          <w:lang w:val="en-GB"/>
        </w:rPr>
        <w:t>.</w:t>
      </w:r>
    </w:p>
  </w:footnote>
  <w:footnote w:id="3">
    <w:p w:rsidR="00951249" w:rsidRPr="00A55972" w:rsidRDefault="00951249" w:rsidP="00371CC9">
      <w:pPr>
        <w:pStyle w:val="a3"/>
        <w:jc w:val="both"/>
        <w:rPr>
          <w:lang w:val="en-US"/>
        </w:rPr>
      </w:pPr>
      <w:r>
        <w:rPr>
          <w:rStyle w:val="a5"/>
        </w:rPr>
        <w:footnoteRef/>
      </w:r>
      <w:r w:rsidRPr="00A55972">
        <w:rPr>
          <w:lang w:val="en-US"/>
        </w:rPr>
        <w:t xml:space="preserve"> </w:t>
      </w:r>
      <w:r>
        <w:rPr>
          <w:lang w:val="en-GB"/>
        </w:rPr>
        <w:t>Hereinafter: Day T is the day of the conclusion of transaction</w:t>
      </w:r>
      <w:r w:rsidRPr="005A4FE8">
        <w:rPr>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1A4"/>
    <w:multiLevelType w:val="hybridMultilevel"/>
    <w:tmpl w:val="3F7CD84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63B3718"/>
    <w:multiLevelType w:val="hybridMultilevel"/>
    <w:tmpl w:val="A0B2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74CB6"/>
    <w:multiLevelType w:val="hybridMultilevel"/>
    <w:tmpl w:val="2AB0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81E49"/>
    <w:multiLevelType w:val="hybridMultilevel"/>
    <w:tmpl w:val="13B2E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695836"/>
    <w:multiLevelType w:val="hybridMultilevel"/>
    <w:tmpl w:val="A9AEE35A"/>
    <w:lvl w:ilvl="0" w:tplc="F73EB24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D9530D"/>
    <w:multiLevelType w:val="hybridMultilevel"/>
    <w:tmpl w:val="B70A9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3418E8"/>
    <w:multiLevelType w:val="hybridMultilevel"/>
    <w:tmpl w:val="3E7E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3A6441"/>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887041"/>
    <w:multiLevelType w:val="hybridMultilevel"/>
    <w:tmpl w:val="773CA2A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0EA04B3"/>
    <w:multiLevelType w:val="hybridMultilevel"/>
    <w:tmpl w:val="5D527EF8"/>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0">
    <w:nsid w:val="140E087A"/>
    <w:multiLevelType w:val="hybridMultilevel"/>
    <w:tmpl w:val="CA9EA40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17990A42"/>
    <w:multiLevelType w:val="hybridMultilevel"/>
    <w:tmpl w:val="52C4A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B46F5C"/>
    <w:multiLevelType w:val="hybridMultilevel"/>
    <w:tmpl w:val="BE02F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5A0083"/>
    <w:multiLevelType w:val="hybridMultilevel"/>
    <w:tmpl w:val="99E673F4"/>
    <w:lvl w:ilvl="0" w:tplc="D5C21284">
      <w:start w:val="1"/>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4">
    <w:nsid w:val="1CF93660"/>
    <w:multiLevelType w:val="hybridMultilevel"/>
    <w:tmpl w:val="5D527EF8"/>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
    <w:nsid w:val="1FCC0C69"/>
    <w:multiLevelType w:val="hybridMultilevel"/>
    <w:tmpl w:val="6F408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2654CF"/>
    <w:multiLevelType w:val="hybridMultilevel"/>
    <w:tmpl w:val="BF0CC5C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7">
    <w:nsid w:val="215E38FC"/>
    <w:multiLevelType w:val="hybridMultilevel"/>
    <w:tmpl w:val="CA5CD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177029"/>
    <w:multiLevelType w:val="hybridMultilevel"/>
    <w:tmpl w:val="5978D3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D90690"/>
    <w:multiLevelType w:val="hybridMultilevel"/>
    <w:tmpl w:val="C312FD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2BA34E65"/>
    <w:multiLevelType w:val="hybridMultilevel"/>
    <w:tmpl w:val="5C187EA8"/>
    <w:lvl w:ilvl="0" w:tplc="F73EB240">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D5B4185"/>
    <w:multiLevelType w:val="hybridMultilevel"/>
    <w:tmpl w:val="88245174"/>
    <w:lvl w:ilvl="0" w:tplc="04190001">
      <w:start w:val="1"/>
      <w:numFmt w:val="bullet"/>
      <w:lvlText w:val=""/>
      <w:lvlJc w:val="left"/>
      <w:pPr>
        <w:ind w:left="1069" w:hanging="360"/>
      </w:pPr>
      <w:rPr>
        <w:rFonts w:ascii="Symbol" w:hAnsi="Symbol" w:hint="default"/>
      </w:rPr>
    </w:lvl>
    <w:lvl w:ilvl="1" w:tplc="04190001">
      <w:start w:val="1"/>
      <w:numFmt w:val="bullet"/>
      <w:lvlText w:val=""/>
      <w:lvlJc w:val="left"/>
      <w:pPr>
        <w:ind w:left="1069"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5F5711"/>
    <w:multiLevelType w:val="hybridMultilevel"/>
    <w:tmpl w:val="C6600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B02ED1"/>
    <w:multiLevelType w:val="hybridMultilevel"/>
    <w:tmpl w:val="A148F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07E1D38"/>
    <w:multiLevelType w:val="hybridMultilevel"/>
    <w:tmpl w:val="3B28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AD6A9C"/>
    <w:multiLevelType w:val="hybridMultilevel"/>
    <w:tmpl w:val="5100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B8211A"/>
    <w:multiLevelType w:val="hybridMultilevel"/>
    <w:tmpl w:val="493E3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31BB211A"/>
    <w:multiLevelType w:val="hybridMultilevel"/>
    <w:tmpl w:val="4EAC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8C5CDD"/>
    <w:multiLevelType w:val="hybridMultilevel"/>
    <w:tmpl w:val="BBAC62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4AF35EE"/>
    <w:multiLevelType w:val="hybridMultilevel"/>
    <w:tmpl w:val="F294A94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BC4B78"/>
    <w:multiLevelType w:val="hybridMultilevel"/>
    <w:tmpl w:val="1D4655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nsid w:val="49A039F7"/>
    <w:multiLevelType w:val="hybridMultilevel"/>
    <w:tmpl w:val="00DAE7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49E403E1"/>
    <w:multiLevelType w:val="hybridMultilevel"/>
    <w:tmpl w:val="1C368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C9465C"/>
    <w:multiLevelType w:val="hybridMultilevel"/>
    <w:tmpl w:val="5D527EF8"/>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4">
    <w:nsid w:val="52E60114"/>
    <w:multiLevelType w:val="hybridMultilevel"/>
    <w:tmpl w:val="23E0CE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53535E05"/>
    <w:multiLevelType w:val="hybridMultilevel"/>
    <w:tmpl w:val="5CDE4C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544C2A60"/>
    <w:multiLevelType w:val="hybridMultilevel"/>
    <w:tmpl w:val="A8B01118"/>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786"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FA6E38"/>
    <w:multiLevelType w:val="hybridMultilevel"/>
    <w:tmpl w:val="673614E4"/>
    <w:lvl w:ilvl="0" w:tplc="F73EB24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CA3137"/>
    <w:multiLevelType w:val="hybridMultilevel"/>
    <w:tmpl w:val="81CE2EF8"/>
    <w:styleLink w:val="11"/>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62E422C1"/>
    <w:multiLevelType w:val="hybridMultilevel"/>
    <w:tmpl w:val="E71E12B8"/>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0">
    <w:nsid w:val="634B6DEC"/>
    <w:multiLevelType w:val="multilevel"/>
    <w:tmpl w:val="0419001F"/>
    <w:styleLink w:val="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3643588"/>
    <w:multiLevelType w:val="hybridMultilevel"/>
    <w:tmpl w:val="B6BE05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63DF2361"/>
    <w:multiLevelType w:val="hybridMultilevel"/>
    <w:tmpl w:val="10EA4A5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nsid w:val="659256D3"/>
    <w:multiLevelType w:val="hybridMultilevel"/>
    <w:tmpl w:val="6C740F0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4">
    <w:nsid w:val="67B85DEF"/>
    <w:multiLevelType w:val="hybridMultilevel"/>
    <w:tmpl w:val="64BAD234"/>
    <w:lvl w:ilvl="0" w:tplc="B4A260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7D4F68"/>
    <w:multiLevelType w:val="hybridMultilevel"/>
    <w:tmpl w:val="FF2CEF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68B95492"/>
    <w:multiLevelType w:val="hybridMultilevel"/>
    <w:tmpl w:val="375AEB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6D7F0203"/>
    <w:multiLevelType w:val="hybridMultilevel"/>
    <w:tmpl w:val="DAEE6A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6DC328CA"/>
    <w:multiLevelType w:val="multilevel"/>
    <w:tmpl w:val="0419001F"/>
    <w:numStyleLink w:val="1"/>
  </w:abstractNum>
  <w:abstractNum w:abstractNumId="49">
    <w:nsid w:val="715238A2"/>
    <w:multiLevelType w:val="hybridMultilevel"/>
    <w:tmpl w:val="E1E48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2F45C89"/>
    <w:multiLevelType w:val="hybridMultilevel"/>
    <w:tmpl w:val="7062D6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758365C9"/>
    <w:multiLevelType w:val="hybridMultilevel"/>
    <w:tmpl w:val="3FCAB9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775E275B"/>
    <w:multiLevelType w:val="hybridMultilevel"/>
    <w:tmpl w:val="1C703BB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3">
    <w:nsid w:val="77F365D0"/>
    <w:multiLevelType w:val="hybridMultilevel"/>
    <w:tmpl w:val="40729F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36"/>
  </w:num>
  <w:num w:numId="3">
    <w:abstractNumId w:val="43"/>
  </w:num>
  <w:num w:numId="4">
    <w:abstractNumId w:val="48"/>
  </w:num>
  <w:num w:numId="5">
    <w:abstractNumId w:val="40"/>
  </w:num>
  <w:num w:numId="6">
    <w:abstractNumId w:val="7"/>
  </w:num>
  <w:num w:numId="7">
    <w:abstractNumId w:val="18"/>
  </w:num>
  <w:num w:numId="8">
    <w:abstractNumId w:val="38"/>
  </w:num>
  <w:num w:numId="9">
    <w:abstractNumId w:val="17"/>
  </w:num>
  <w:num w:numId="10">
    <w:abstractNumId w:val="21"/>
  </w:num>
  <w:num w:numId="11">
    <w:abstractNumId w:val="29"/>
  </w:num>
  <w:num w:numId="12">
    <w:abstractNumId w:val="1"/>
  </w:num>
  <w:num w:numId="13">
    <w:abstractNumId w:val="30"/>
  </w:num>
  <w:num w:numId="14">
    <w:abstractNumId w:val="6"/>
  </w:num>
  <w:num w:numId="15">
    <w:abstractNumId w:val="12"/>
  </w:num>
  <w:num w:numId="16">
    <w:abstractNumId w:val="42"/>
  </w:num>
  <w:num w:numId="17">
    <w:abstractNumId w:val="24"/>
  </w:num>
  <w:num w:numId="18">
    <w:abstractNumId w:val="52"/>
  </w:num>
  <w:num w:numId="19">
    <w:abstractNumId w:val="2"/>
  </w:num>
  <w:num w:numId="20">
    <w:abstractNumId w:val="25"/>
  </w:num>
  <w:num w:numId="21">
    <w:abstractNumId w:val="13"/>
  </w:num>
  <w:num w:numId="22">
    <w:abstractNumId w:val="37"/>
  </w:num>
  <w:num w:numId="23">
    <w:abstractNumId w:val="4"/>
  </w:num>
  <w:num w:numId="24">
    <w:abstractNumId w:val="35"/>
  </w:num>
  <w:num w:numId="25">
    <w:abstractNumId w:val="28"/>
  </w:num>
  <w:num w:numId="26">
    <w:abstractNumId w:val="47"/>
  </w:num>
  <w:num w:numId="27">
    <w:abstractNumId w:val="34"/>
  </w:num>
  <w:num w:numId="28">
    <w:abstractNumId w:val="46"/>
  </w:num>
  <w:num w:numId="29">
    <w:abstractNumId w:val="51"/>
  </w:num>
  <w:num w:numId="30">
    <w:abstractNumId w:val="26"/>
  </w:num>
  <w:num w:numId="31">
    <w:abstractNumId w:val="45"/>
  </w:num>
  <w:num w:numId="32">
    <w:abstractNumId w:val="39"/>
  </w:num>
  <w:num w:numId="33">
    <w:abstractNumId w:val="8"/>
  </w:num>
  <w:num w:numId="34">
    <w:abstractNumId w:val="20"/>
  </w:num>
  <w:num w:numId="35">
    <w:abstractNumId w:val="15"/>
  </w:num>
  <w:num w:numId="36">
    <w:abstractNumId w:val="27"/>
  </w:num>
  <w:num w:numId="37">
    <w:abstractNumId w:val="22"/>
  </w:num>
  <w:num w:numId="38">
    <w:abstractNumId w:val="49"/>
  </w:num>
  <w:num w:numId="39">
    <w:abstractNumId w:val="14"/>
  </w:num>
  <w:num w:numId="40">
    <w:abstractNumId w:val="9"/>
  </w:num>
  <w:num w:numId="41">
    <w:abstractNumId w:val="33"/>
  </w:num>
  <w:num w:numId="42">
    <w:abstractNumId w:val="16"/>
  </w:num>
  <w:num w:numId="43">
    <w:abstractNumId w:val="23"/>
  </w:num>
  <w:num w:numId="44">
    <w:abstractNumId w:val="31"/>
  </w:num>
  <w:num w:numId="45">
    <w:abstractNumId w:val="41"/>
  </w:num>
  <w:num w:numId="46">
    <w:abstractNumId w:val="53"/>
  </w:num>
  <w:num w:numId="47">
    <w:abstractNumId w:val="19"/>
  </w:num>
  <w:num w:numId="48">
    <w:abstractNumId w:val="50"/>
  </w:num>
  <w:num w:numId="49">
    <w:abstractNumId w:val="5"/>
  </w:num>
  <w:num w:numId="50">
    <w:abstractNumId w:val="44"/>
  </w:num>
  <w:num w:numId="51">
    <w:abstractNumId w:val="32"/>
  </w:num>
  <w:num w:numId="52">
    <w:abstractNumId w:val="11"/>
  </w:num>
  <w:num w:numId="53">
    <w:abstractNumId w:val="3"/>
  </w:num>
  <w:num w:numId="54">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CA6"/>
    <w:rsid w:val="00004CA8"/>
    <w:rsid w:val="000104D6"/>
    <w:rsid w:val="00023C98"/>
    <w:rsid w:val="00045064"/>
    <w:rsid w:val="00046BB2"/>
    <w:rsid w:val="00056B1A"/>
    <w:rsid w:val="00080622"/>
    <w:rsid w:val="000B2640"/>
    <w:rsid w:val="000B26D0"/>
    <w:rsid w:val="000D7237"/>
    <w:rsid w:val="000E1D9F"/>
    <w:rsid w:val="000F73A6"/>
    <w:rsid w:val="001235DB"/>
    <w:rsid w:val="001267AF"/>
    <w:rsid w:val="00151445"/>
    <w:rsid w:val="00176553"/>
    <w:rsid w:val="001851F5"/>
    <w:rsid w:val="00191846"/>
    <w:rsid w:val="0019248E"/>
    <w:rsid w:val="001A4A0F"/>
    <w:rsid w:val="001C056F"/>
    <w:rsid w:val="001C17D9"/>
    <w:rsid w:val="001E1649"/>
    <w:rsid w:val="001E59E9"/>
    <w:rsid w:val="001F19BC"/>
    <w:rsid w:val="00206F12"/>
    <w:rsid w:val="00207DDC"/>
    <w:rsid w:val="00241C23"/>
    <w:rsid w:val="0024753D"/>
    <w:rsid w:val="0025144B"/>
    <w:rsid w:val="0026557A"/>
    <w:rsid w:val="002735E4"/>
    <w:rsid w:val="00277C5C"/>
    <w:rsid w:val="00294DAE"/>
    <w:rsid w:val="00297402"/>
    <w:rsid w:val="002B1B7D"/>
    <w:rsid w:val="002C5B4D"/>
    <w:rsid w:val="002D49A9"/>
    <w:rsid w:val="002E48F1"/>
    <w:rsid w:val="002F2EC0"/>
    <w:rsid w:val="00330ECB"/>
    <w:rsid w:val="003350B2"/>
    <w:rsid w:val="003415E8"/>
    <w:rsid w:val="003633C6"/>
    <w:rsid w:val="00371CC9"/>
    <w:rsid w:val="003A4F5D"/>
    <w:rsid w:val="003C2241"/>
    <w:rsid w:val="003D39CF"/>
    <w:rsid w:val="003F247E"/>
    <w:rsid w:val="003F6853"/>
    <w:rsid w:val="00417D7A"/>
    <w:rsid w:val="004506F3"/>
    <w:rsid w:val="00466FDF"/>
    <w:rsid w:val="00472CA4"/>
    <w:rsid w:val="00480137"/>
    <w:rsid w:val="00495460"/>
    <w:rsid w:val="004A635D"/>
    <w:rsid w:val="004B097A"/>
    <w:rsid w:val="004C7F96"/>
    <w:rsid w:val="004E656A"/>
    <w:rsid w:val="004F6C5D"/>
    <w:rsid w:val="00506421"/>
    <w:rsid w:val="00514D32"/>
    <w:rsid w:val="00524905"/>
    <w:rsid w:val="00527DAC"/>
    <w:rsid w:val="00587CE6"/>
    <w:rsid w:val="0059676C"/>
    <w:rsid w:val="005A5718"/>
    <w:rsid w:val="005B4876"/>
    <w:rsid w:val="005D049B"/>
    <w:rsid w:val="005D7D23"/>
    <w:rsid w:val="005F5102"/>
    <w:rsid w:val="005F7F19"/>
    <w:rsid w:val="006414DB"/>
    <w:rsid w:val="006446E4"/>
    <w:rsid w:val="0065060D"/>
    <w:rsid w:val="00660DB9"/>
    <w:rsid w:val="006A43AC"/>
    <w:rsid w:val="006B1B90"/>
    <w:rsid w:val="006C4FE3"/>
    <w:rsid w:val="006F0EDC"/>
    <w:rsid w:val="00701C85"/>
    <w:rsid w:val="007211BA"/>
    <w:rsid w:val="007222DF"/>
    <w:rsid w:val="0075306F"/>
    <w:rsid w:val="0075516C"/>
    <w:rsid w:val="00761416"/>
    <w:rsid w:val="0076634E"/>
    <w:rsid w:val="00796C4D"/>
    <w:rsid w:val="007A3FCB"/>
    <w:rsid w:val="007B2791"/>
    <w:rsid w:val="007C7A92"/>
    <w:rsid w:val="007D2179"/>
    <w:rsid w:val="007D3348"/>
    <w:rsid w:val="007F0338"/>
    <w:rsid w:val="00812E0F"/>
    <w:rsid w:val="00830686"/>
    <w:rsid w:val="0083092D"/>
    <w:rsid w:val="00833E64"/>
    <w:rsid w:val="0084370F"/>
    <w:rsid w:val="00845F4A"/>
    <w:rsid w:val="008646CA"/>
    <w:rsid w:val="008739B6"/>
    <w:rsid w:val="00876F57"/>
    <w:rsid w:val="008C2120"/>
    <w:rsid w:val="008C664C"/>
    <w:rsid w:val="008D732A"/>
    <w:rsid w:val="008E135F"/>
    <w:rsid w:val="008E756A"/>
    <w:rsid w:val="008F7442"/>
    <w:rsid w:val="009009E2"/>
    <w:rsid w:val="00902AA6"/>
    <w:rsid w:val="0091619C"/>
    <w:rsid w:val="0093352E"/>
    <w:rsid w:val="00936D1D"/>
    <w:rsid w:val="00944CCA"/>
    <w:rsid w:val="00951249"/>
    <w:rsid w:val="00961E31"/>
    <w:rsid w:val="00970843"/>
    <w:rsid w:val="009842C4"/>
    <w:rsid w:val="00986F1F"/>
    <w:rsid w:val="009B23BD"/>
    <w:rsid w:val="009B2E74"/>
    <w:rsid w:val="009D2E57"/>
    <w:rsid w:val="009D6033"/>
    <w:rsid w:val="009D7D50"/>
    <w:rsid w:val="009F55B7"/>
    <w:rsid w:val="009F6A25"/>
    <w:rsid w:val="00A32F56"/>
    <w:rsid w:val="00A812B2"/>
    <w:rsid w:val="00A83766"/>
    <w:rsid w:val="00A92C91"/>
    <w:rsid w:val="00AA0377"/>
    <w:rsid w:val="00AC13B3"/>
    <w:rsid w:val="00AD2BCE"/>
    <w:rsid w:val="00AF0CF3"/>
    <w:rsid w:val="00B00A8A"/>
    <w:rsid w:val="00B5200D"/>
    <w:rsid w:val="00B84D92"/>
    <w:rsid w:val="00B864D7"/>
    <w:rsid w:val="00B90659"/>
    <w:rsid w:val="00BB1F23"/>
    <w:rsid w:val="00BE44E7"/>
    <w:rsid w:val="00BF056B"/>
    <w:rsid w:val="00C27710"/>
    <w:rsid w:val="00C304CF"/>
    <w:rsid w:val="00C551BA"/>
    <w:rsid w:val="00C677AE"/>
    <w:rsid w:val="00C76E63"/>
    <w:rsid w:val="00C8135A"/>
    <w:rsid w:val="00C844ED"/>
    <w:rsid w:val="00CA4966"/>
    <w:rsid w:val="00CC34FD"/>
    <w:rsid w:val="00CE660D"/>
    <w:rsid w:val="00D10AAF"/>
    <w:rsid w:val="00D271C4"/>
    <w:rsid w:val="00D35260"/>
    <w:rsid w:val="00D44E11"/>
    <w:rsid w:val="00D55472"/>
    <w:rsid w:val="00D866A3"/>
    <w:rsid w:val="00D9530A"/>
    <w:rsid w:val="00DA0D0B"/>
    <w:rsid w:val="00DA17D0"/>
    <w:rsid w:val="00DA578F"/>
    <w:rsid w:val="00DB1BCD"/>
    <w:rsid w:val="00DB5A86"/>
    <w:rsid w:val="00DD292F"/>
    <w:rsid w:val="00E04CA6"/>
    <w:rsid w:val="00E05554"/>
    <w:rsid w:val="00E073EC"/>
    <w:rsid w:val="00E20DEA"/>
    <w:rsid w:val="00E320AE"/>
    <w:rsid w:val="00E35337"/>
    <w:rsid w:val="00E45C6E"/>
    <w:rsid w:val="00E56F0F"/>
    <w:rsid w:val="00E57D2E"/>
    <w:rsid w:val="00E735BA"/>
    <w:rsid w:val="00E94294"/>
    <w:rsid w:val="00EB167B"/>
    <w:rsid w:val="00EB2DD3"/>
    <w:rsid w:val="00ED37D6"/>
    <w:rsid w:val="00EE6F0C"/>
    <w:rsid w:val="00F057C1"/>
    <w:rsid w:val="00F24DA4"/>
    <w:rsid w:val="00F35C31"/>
    <w:rsid w:val="00F55433"/>
    <w:rsid w:val="00F6591D"/>
    <w:rsid w:val="00F674A5"/>
    <w:rsid w:val="00F717AB"/>
    <w:rsid w:val="00F757F1"/>
    <w:rsid w:val="00F75DD0"/>
    <w:rsid w:val="00F9243E"/>
    <w:rsid w:val="00FA3523"/>
    <w:rsid w:val="00FB2750"/>
    <w:rsid w:val="00FC3D99"/>
    <w:rsid w:val="00FC5629"/>
    <w:rsid w:val="00FD6722"/>
    <w:rsid w:val="00FF1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unhideWhenUsed/>
    <w:rsid w:val="00E04CA6"/>
    <w:pPr>
      <w:spacing w:after="100"/>
    </w:pPr>
  </w:style>
  <w:style w:type="paragraph" w:styleId="2">
    <w:name w:val="toc 2"/>
    <w:basedOn w:val="a"/>
    <w:next w:val="a"/>
    <w:autoRedefine/>
    <w:uiPriority w:val="39"/>
    <w:unhideWhenUsed/>
    <w:rsid w:val="00E04CA6"/>
    <w:pPr>
      <w:spacing w:after="100"/>
      <w:ind w:left="220"/>
    </w:pPr>
  </w:style>
  <w:style w:type="paragraph" w:styleId="a3">
    <w:name w:val="footnote text"/>
    <w:basedOn w:val="a"/>
    <w:link w:val="a4"/>
    <w:uiPriority w:val="99"/>
    <w:semiHidden/>
    <w:unhideWhenUsed/>
    <w:rsid w:val="00BF056B"/>
    <w:pPr>
      <w:spacing w:after="0" w:line="240" w:lineRule="auto"/>
    </w:pPr>
    <w:rPr>
      <w:sz w:val="20"/>
      <w:szCs w:val="20"/>
    </w:rPr>
  </w:style>
  <w:style w:type="character" w:customStyle="1" w:styleId="a4">
    <w:name w:val="Текст сноски Знак"/>
    <w:basedOn w:val="a0"/>
    <w:link w:val="a3"/>
    <w:uiPriority w:val="99"/>
    <w:semiHidden/>
    <w:rsid w:val="00BF056B"/>
    <w:rPr>
      <w:sz w:val="20"/>
      <w:szCs w:val="20"/>
    </w:rPr>
  </w:style>
  <w:style w:type="character" w:styleId="a5">
    <w:name w:val="footnote reference"/>
    <w:semiHidden/>
    <w:rsid w:val="00BF056B"/>
    <w:rPr>
      <w:vertAlign w:val="superscript"/>
    </w:rPr>
  </w:style>
  <w:style w:type="numbering" w:customStyle="1" w:styleId="1">
    <w:name w:val="Стиль1"/>
    <w:uiPriority w:val="99"/>
    <w:rsid w:val="00BF056B"/>
    <w:pPr>
      <w:numPr>
        <w:numId w:val="5"/>
      </w:numPr>
    </w:pPr>
  </w:style>
  <w:style w:type="numbering" w:customStyle="1" w:styleId="11">
    <w:name w:val="Стиль11"/>
    <w:uiPriority w:val="99"/>
    <w:rsid w:val="00BF056B"/>
    <w:pPr>
      <w:numPr>
        <w:numId w:val="8"/>
      </w:numPr>
    </w:pPr>
  </w:style>
  <w:style w:type="paragraph" w:styleId="a6">
    <w:name w:val="Balloon Text"/>
    <w:basedOn w:val="a"/>
    <w:link w:val="a7"/>
    <w:uiPriority w:val="99"/>
    <w:semiHidden/>
    <w:unhideWhenUsed/>
    <w:rsid w:val="00BF05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056B"/>
    <w:rPr>
      <w:rFonts w:ascii="Tahoma" w:hAnsi="Tahoma" w:cs="Tahoma"/>
      <w:sz w:val="16"/>
      <w:szCs w:val="16"/>
    </w:rPr>
  </w:style>
  <w:style w:type="paragraph" w:styleId="a8">
    <w:name w:val="No Spacing"/>
    <w:uiPriority w:val="1"/>
    <w:qFormat/>
    <w:rsid w:val="008C2120"/>
    <w:pPr>
      <w:spacing w:after="0" w:line="240" w:lineRule="auto"/>
    </w:pPr>
    <w:rPr>
      <w:rFonts w:eastAsiaTheme="minorEastAsia"/>
      <w:lang w:val="en-US"/>
    </w:rPr>
  </w:style>
  <w:style w:type="character" w:styleId="a9">
    <w:name w:val="annotation reference"/>
    <w:basedOn w:val="a0"/>
    <w:uiPriority w:val="99"/>
    <w:semiHidden/>
    <w:unhideWhenUsed/>
    <w:rsid w:val="008C2120"/>
    <w:rPr>
      <w:sz w:val="16"/>
      <w:szCs w:val="16"/>
    </w:rPr>
  </w:style>
  <w:style w:type="paragraph" w:styleId="aa">
    <w:name w:val="annotation text"/>
    <w:basedOn w:val="a"/>
    <w:link w:val="ab"/>
    <w:uiPriority w:val="99"/>
    <w:semiHidden/>
    <w:unhideWhenUsed/>
    <w:rsid w:val="008C2120"/>
    <w:pPr>
      <w:spacing w:line="240" w:lineRule="auto"/>
    </w:pPr>
    <w:rPr>
      <w:sz w:val="20"/>
      <w:szCs w:val="20"/>
    </w:rPr>
  </w:style>
  <w:style w:type="character" w:customStyle="1" w:styleId="ab">
    <w:name w:val="Текст примечания Знак"/>
    <w:basedOn w:val="a0"/>
    <w:link w:val="aa"/>
    <w:uiPriority w:val="99"/>
    <w:semiHidden/>
    <w:rsid w:val="008C2120"/>
    <w:rPr>
      <w:sz w:val="20"/>
      <w:szCs w:val="20"/>
    </w:rPr>
  </w:style>
  <w:style w:type="character" w:styleId="ac">
    <w:name w:val="Hyperlink"/>
    <w:basedOn w:val="a0"/>
    <w:uiPriority w:val="99"/>
    <w:semiHidden/>
    <w:unhideWhenUsed/>
    <w:rsid w:val="008C2120"/>
    <w:rPr>
      <w:color w:val="0000FF"/>
      <w:u w:val="single"/>
    </w:rPr>
  </w:style>
  <w:style w:type="table" w:styleId="ad">
    <w:name w:val="Table Grid"/>
    <w:basedOn w:val="a1"/>
    <w:uiPriority w:val="59"/>
    <w:rsid w:val="00753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annotation subject"/>
    <w:basedOn w:val="aa"/>
    <w:next w:val="aa"/>
    <w:link w:val="af"/>
    <w:uiPriority w:val="99"/>
    <w:semiHidden/>
    <w:unhideWhenUsed/>
    <w:rsid w:val="00812E0F"/>
    <w:rPr>
      <w:b/>
      <w:bCs/>
    </w:rPr>
  </w:style>
  <w:style w:type="character" w:customStyle="1" w:styleId="af">
    <w:name w:val="Тема примечания Знак"/>
    <w:basedOn w:val="ab"/>
    <w:link w:val="ae"/>
    <w:uiPriority w:val="99"/>
    <w:semiHidden/>
    <w:rsid w:val="00812E0F"/>
    <w:rPr>
      <w:b/>
      <w:bCs/>
      <w:sz w:val="20"/>
      <w:szCs w:val="20"/>
    </w:rPr>
  </w:style>
  <w:style w:type="paragraph" w:styleId="af0">
    <w:name w:val="List Paragraph"/>
    <w:basedOn w:val="a"/>
    <w:uiPriority w:val="34"/>
    <w:qFormat/>
    <w:rsid w:val="009B23BD"/>
    <w:pPr>
      <w:ind w:left="720"/>
      <w:contextualSpacing/>
    </w:pPr>
  </w:style>
  <w:style w:type="paragraph" w:styleId="af1">
    <w:name w:val="Normal (Web)"/>
    <w:basedOn w:val="a"/>
    <w:uiPriority w:val="99"/>
    <w:semiHidden/>
    <w:unhideWhenUsed/>
    <w:rsid w:val="00D55472"/>
    <w:rPr>
      <w:rFonts w:ascii="Times New Roman" w:hAnsi="Times New Roman" w:cs="Times New Roman"/>
      <w:sz w:val="24"/>
      <w:szCs w:val="24"/>
    </w:rPr>
  </w:style>
  <w:style w:type="table" w:styleId="af2">
    <w:name w:val="Colorful Shading"/>
    <w:basedOn w:val="a1"/>
    <w:uiPriority w:val="71"/>
    <w:rsid w:val="00D5547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2">
    <w:name w:val="Light Grid Accent 2"/>
    <w:basedOn w:val="a1"/>
    <w:uiPriority w:val="62"/>
    <w:rsid w:val="00D5547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20">
    <w:name w:val="Colorful Shading Accent 2"/>
    <w:basedOn w:val="a1"/>
    <w:uiPriority w:val="71"/>
    <w:rsid w:val="00D5547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12">
    <w:name w:val="Цветная заливка1"/>
    <w:basedOn w:val="a1"/>
    <w:uiPriority w:val="71"/>
    <w:rsid w:val="00D5547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af3">
    <w:name w:val="Revision"/>
    <w:hidden/>
    <w:uiPriority w:val="99"/>
    <w:semiHidden/>
    <w:rsid w:val="00D554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unhideWhenUsed/>
    <w:rsid w:val="00E04CA6"/>
    <w:pPr>
      <w:spacing w:after="100"/>
    </w:pPr>
  </w:style>
  <w:style w:type="paragraph" w:styleId="2">
    <w:name w:val="toc 2"/>
    <w:basedOn w:val="a"/>
    <w:next w:val="a"/>
    <w:autoRedefine/>
    <w:uiPriority w:val="39"/>
    <w:unhideWhenUsed/>
    <w:rsid w:val="00E04CA6"/>
    <w:pPr>
      <w:spacing w:after="100"/>
      <w:ind w:left="220"/>
    </w:pPr>
  </w:style>
  <w:style w:type="paragraph" w:styleId="a3">
    <w:name w:val="footnote text"/>
    <w:basedOn w:val="a"/>
    <w:link w:val="a4"/>
    <w:uiPriority w:val="99"/>
    <w:semiHidden/>
    <w:unhideWhenUsed/>
    <w:rsid w:val="00BF056B"/>
    <w:pPr>
      <w:spacing w:after="0" w:line="240" w:lineRule="auto"/>
    </w:pPr>
    <w:rPr>
      <w:sz w:val="20"/>
      <w:szCs w:val="20"/>
    </w:rPr>
  </w:style>
  <w:style w:type="character" w:customStyle="1" w:styleId="a4">
    <w:name w:val="Текст сноски Знак"/>
    <w:basedOn w:val="a0"/>
    <w:link w:val="a3"/>
    <w:uiPriority w:val="99"/>
    <w:semiHidden/>
    <w:rsid w:val="00BF056B"/>
    <w:rPr>
      <w:sz w:val="20"/>
      <w:szCs w:val="20"/>
    </w:rPr>
  </w:style>
  <w:style w:type="character" w:styleId="a5">
    <w:name w:val="footnote reference"/>
    <w:semiHidden/>
    <w:rsid w:val="00BF056B"/>
    <w:rPr>
      <w:vertAlign w:val="superscript"/>
    </w:rPr>
  </w:style>
  <w:style w:type="numbering" w:customStyle="1" w:styleId="1">
    <w:name w:val="Стиль1"/>
    <w:uiPriority w:val="99"/>
    <w:rsid w:val="00BF056B"/>
    <w:pPr>
      <w:numPr>
        <w:numId w:val="5"/>
      </w:numPr>
    </w:pPr>
  </w:style>
  <w:style w:type="numbering" w:customStyle="1" w:styleId="11">
    <w:name w:val="Стиль11"/>
    <w:uiPriority w:val="99"/>
    <w:rsid w:val="00BF056B"/>
    <w:pPr>
      <w:numPr>
        <w:numId w:val="8"/>
      </w:numPr>
    </w:pPr>
  </w:style>
  <w:style w:type="paragraph" w:styleId="a6">
    <w:name w:val="Balloon Text"/>
    <w:basedOn w:val="a"/>
    <w:link w:val="a7"/>
    <w:uiPriority w:val="99"/>
    <w:semiHidden/>
    <w:unhideWhenUsed/>
    <w:rsid w:val="00BF05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056B"/>
    <w:rPr>
      <w:rFonts w:ascii="Tahoma" w:hAnsi="Tahoma" w:cs="Tahoma"/>
      <w:sz w:val="16"/>
      <w:szCs w:val="16"/>
    </w:rPr>
  </w:style>
  <w:style w:type="paragraph" w:styleId="a8">
    <w:name w:val="No Spacing"/>
    <w:uiPriority w:val="1"/>
    <w:qFormat/>
    <w:rsid w:val="008C2120"/>
    <w:pPr>
      <w:spacing w:after="0" w:line="240" w:lineRule="auto"/>
    </w:pPr>
    <w:rPr>
      <w:rFonts w:eastAsiaTheme="minorEastAsia"/>
      <w:lang w:val="en-US"/>
    </w:rPr>
  </w:style>
  <w:style w:type="character" w:styleId="a9">
    <w:name w:val="annotation reference"/>
    <w:basedOn w:val="a0"/>
    <w:uiPriority w:val="99"/>
    <w:semiHidden/>
    <w:unhideWhenUsed/>
    <w:rsid w:val="008C2120"/>
    <w:rPr>
      <w:sz w:val="16"/>
      <w:szCs w:val="16"/>
    </w:rPr>
  </w:style>
  <w:style w:type="paragraph" w:styleId="aa">
    <w:name w:val="annotation text"/>
    <w:basedOn w:val="a"/>
    <w:link w:val="ab"/>
    <w:uiPriority w:val="99"/>
    <w:semiHidden/>
    <w:unhideWhenUsed/>
    <w:rsid w:val="008C2120"/>
    <w:pPr>
      <w:spacing w:line="240" w:lineRule="auto"/>
    </w:pPr>
    <w:rPr>
      <w:sz w:val="20"/>
      <w:szCs w:val="20"/>
    </w:rPr>
  </w:style>
  <w:style w:type="character" w:customStyle="1" w:styleId="ab">
    <w:name w:val="Текст примечания Знак"/>
    <w:basedOn w:val="a0"/>
    <w:link w:val="aa"/>
    <w:uiPriority w:val="99"/>
    <w:semiHidden/>
    <w:rsid w:val="008C2120"/>
    <w:rPr>
      <w:sz w:val="20"/>
      <w:szCs w:val="20"/>
    </w:rPr>
  </w:style>
  <w:style w:type="character" w:styleId="ac">
    <w:name w:val="Hyperlink"/>
    <w:basedOn w:val="a0"/>
    <w:uiPriority w:val="99"/>
    <w:semiHidden/>
    <w:unhideWhenUsed/>
    <w:rsid w:val="008C2120"/>
    <w:rPr>
      <w:color w:val="0000FF"/>
      <w:u w:val="single"/>
    </w:rPr>
  </w:style>
  <w:style w:type="table" w:styleId="ad">
    <w:name w:val="Table Grid"/>
    <w:basedOn w:val="a1"/>
    <w:uiPriority w:val="59"/>
    <w:rsid w:val="00753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annotation subject"/>
    <w:basedOn w:val="aa"/>
    <w:next w:val="aa"/>
    <w:link w:val="af"/>
    <w:uiPriority w:val="99"/>
    <w:semiHidden/>
    <w:unhideWhenUsed/>
    <w:rsid w:val="00812E0F"/>
    <w:rPr>
      <w:b/>
      <w:bCs/>
    </w:rPr>
  </w:style>
  <w:style w:type="character" w:customStyle="1" w:styleId="af">
    <w:name w:val="Тема примечания Знак"/>
    <w:basedOn w:val="ab"/>
    <w:link w:val="ae"/>
    <w:uiPriority w:val="99"/>
    <w:semiHidden/>
    <w:rsid w:val="00812E0F"/>
    <w:rPr>
      <w:b/>
      <w:bCs/>
      <w:sz w:val="20"/>
      <w:szCs w:val="20"/>
    </w:rPr>
  </w:style>
  <w:style w:type="paragraph" w:styleId="af0">
    <w:name w:val="List Paragraph"/>
    <w:basedOn w:val="a"/>
    <w:uiPriority w:val="34"/>
    <w:qFormat/>
    <w:rsid w:val="009B23BD"/>
    <w:pPr>
      <w:ind w:left="720"/>
      <w:contextualSpacing/>
    </w:pPr>
  </w:style>
  <w:style w:type="paragraph" w:styleId="af1">
    <w:name w:val="Normal (Web)"/>
    <w:basedOn w:val="a"/>
    <w:uiPriority w:val="99"/>
    <w:semiHidden/>
    <w:unhideWhenUsed/>
    <w:rsid w:val="00D55472"/>
    <w:rPr>
      <w:rFonts w:ascii="Times New Roman" w:hAnsi="Times New Roman" w:cs="Times New Roman"/>
      <w:sz w:val="24"/>
      <w:szCs w:val="24"/>
    </w:rPr>
  </w:style>
  <w:style w:type="table" w:styleId="af2">
    <w:name w:val="Colorful Shading"/>
    <w:basedOn w:val="a1"/>
    <w:uiPriority w:val="71"/>
    <w:rsid w:val="00D5547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2">
    <w:name w:val="Light Grid Accent 2"/>
    <w:basedOn w:val="a1"/>
    <w:uiPriority w:val="62"/>
    <w:rsid w:val="00D5547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20">
    <w:name w:val="Colorful Shading Accent 2"/>
    <w:basedOn w:val="a1"/>
    <w:uiPriority w:val="71"/>
    <w:rsid w:val="00D5547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12">
    <w:name w:val="Цветная заливка1"/>
    <w:basedOn w:val="a1"/>
    <w:uiPriority w:val="71"/>
    <w:rsid w:val="00D5547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af3">
    <w:name w:val="Revision"/>
    <w:hidden/>
    <w:uiPriority w:val="99"/>
    <w:semiHidden/>
    <w:rsid w:val="00D554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ultitran.ru/c/m.exe?t=31137_1_2&amp;s1=%E2%20%EF%E5%F0%E2%F3%FE%20%EE%F7%E5%F0%E5%E4%FC" TargetMode="External"/><Relationship Id="rId18" Type="http://schemas.openxmlformats.org/officeDocument/2006/relationships/hyperlink" Target="http://www.multitran.ru/c/m.exe?t=253800_1_2&amp;s1=%E0%E4%E5%EA%E2%E0%F2%ED%EE" TargetMode="External"/><Relationship Id="rId26" Type="http://schemas.openxmlformats.org/officeDocument/2006/relationships/image" Target="media/image13.png"/><Relationship Id="rId39" Type="http://schemas.openxmlformats.org/officeDocument/2006/relationships/chart" Target="charts/chart2.xml"/><Relationship Id="rId21" Type="http://schemas.openxmlformats.org/officeDocument/2006/relationships/image" Target="media/image8.jpg"/><Relationship Id="rId34" Type="http://schemas.openxmlformats.org/officeDocument/2006/relationships/hyperlink" Target="http://moex.com/s1010" TargetMode="External"/><Relationship Id="rId42" Type="http://schemas.openxmlformats.org/officeDocument/2006/relationships/chart" Target="charts/chart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http://www.multitran.ru/c/m.exe?t=4819987_1_2&amp;s1=%E5%E4%E8%ED%EE%EB%E8%F7%ED%FB%E9%20%E8%F1%EF%EE%EB%ED%E8%F2%E5%EB%FC%ED%FB%E9%20%EE%F0%E3%E0%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hyperlink" Target="http://moex.com/s1010" TargetMode="External"/><Relationship Id="rId37" Type="http://schemas.openxmlformats.org/officeDocument/2006/relationships/hyperlink" Target="http://moex.com/s1010" TargetMode="External"/><Relationship Id="rId40" Type="http://schemas.openxmlformats.org/officeDocument/2006/relationships/image" Target="media/image15.pn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ultitran.ru/c/m.exe?t=2611_1_2&amp;s1=%EF%F0%E5%E4%E2%E0%F0%E8%F2%E5%EB%FC%ED%FB%E9" TargetMode="External"/><Relationship Id="rId23" Type="http://schemas.openxmlformats.org/officeDocument/2006/relationships/image" Target="media/image10.png"/><Relationship Id="rId28" Type="http://schemas.openxmlformats.org/officeDocument/2006/relationships/image" Target="cid:image001.png@01CF4392.71AAD120" TargetMode="External"/><Relationship Id="rId36" Type="http://schemas.openxmlformats.org/officeDocument/2006/relationships/hyperlink" Target="http://moex.com/s1010" TargetMode="External"/><Relationship Id="rId10" Type="http://schemas.openxmlformats.org/officeDocument/2006/relationships/image" Target="media/image2.png"/><Relationship Id="rId19" Type="http://schemas.openxmlformats.org/officeDocument/2006/relationships/hyperlink" Target="http://www.multitran.ru/c/m.exe?t=2684128_1_2&amp;s1=%E1%E8%F0%E6%E5%E2%E0%FF%20%F1%E4%E5%EB%EA%E0" TargetMode="External"/><Relationship Id="rId31" Type="http://schemas.openxmlformats.org/officeDocument/2006/relationships/hyperlink" Target="http://moex.com/s1010" TargetMode="External"/><Relationship Id="rId44"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multitran.ru/c/m.exe?t=2611_1_2&amp;s1=%EF%F0%E5%E4%E2%E0%F0%E8%F2%E5%EB%FC%ED%FB%E9" TargetMode="External"/><Relationship Id="rId22" Type="http://schemas.openxmlformats.org/officeDocument/2006/relationships/image" Target="media/image9.jpg"/><Relationship Id="rId27" Type="http://schemas.openxmlformats.org/officeDocument/2006/relationships/image" Target="media/image14.png"/><Relationship Id="rId30" Type="http://schemas.openxmlformats.org/officeDocument/2006/relationships/hyperlink" Target="http://moex.com/s1010" TargetMode="External"/><Relationship Id="rId35" Type="http://schemas.openxmlformats.org/officeDocument/2006/relationships/hyperlink" Target="http://www.multitran.ru/c/m.exe?t=4730856_1_2&amp;s1=%F4%F3%ED%EA%F6%E8%EE%ED%E0%EB" TargetMode="External"/><Relationship Id="rId43" Type="http://schemas.openxmlformats.org/officeDocument/2006/relationships/hyperlink" Target="http://www.multitran.ru/c/m.exe?t=5237008_1_2&amp;s1=%ED%EE%F0%EC%E0%F2%E8%E2%ED%EE-%EF%F0%E0%E2%EE%E2%E0%FF%20%E1%E0%E7%E0"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image" Target="media/image12.jpg"/><Relationship Id="rId33" Type="http://schemas.openxmlformats.org/officeDocument/2006/relationships/hyperlink" Target="http://moex.com/s1010" TargetMode="External"/><Relationship Id="rId38" Type="http://schemas.openxmlformats.org/officeDocument/2006/relationships/chart" Target="charts/chart1.xml"/><Relationship Id="rId46" Type="http://schemas.openxmlformats.org/officeDocument/2006/relationships/theme" Target="theme/theme1.xml"/><Relationship Id="rId20" Type="http://schemas.openxmlformats.org/officeDocument/2006/relationships/image" Target="media/image7.png"/><Relationship Id="rId41"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2" Type="http://schemas.openxmlformats.org/officeDocument/2006/relationships/oleObject" Target="file:///\\office.micex.com\Public\Files\&#1053;&#1050;&#1062;-&#1044;&#1048;&#1058;\&#1056;&#1072;&#1073;&#1086;&#1090;&#1099;_&#1044;&#1048;&#1058;\&#1075;&#1086;&#1076;&#1086;&#1074;&#1086;&#1081;%20&#1086;&#1090;&#1095;&#1077;&#1090;%20&#1053;&#1050;&#1062;\2013\&#1050;&#1086;&#1087;&#1080;&#1103;%20&#1057;&#1090;&#1072;&#1090;&#1080;&#1089;&#1090;&#1080;&#1082;&#1072;%20&#1054;&#1041;&#1058;%202009-2013_.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office.micex.com\Public\Files\&#1053;&#1050;&#1062;-&#1044;&#1048;&#1058;\&#1056;&#1072;&#1073;&#1086;&#1090;&#1099;_&#1044;&#1048;&#1058;\&#1075;&#1086;&#1076;&#1086;&#1074;&#1086;&#1081;%20&#1086;&#1090;&#1095;&#1077;&#1090;%20&#1053;&#1050;&#1062;\2013\&#1050;&#1086;&#1087;&#1080;&#1103;%20&#1057;&#1090;&#1072;&#1090;&#1080;&#1089;&#1090;&#1080;&#1082;&#1072;%20&#1054;&#1041;&#1058;%202009-2013_.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Ryzhova\AppData\Local\Microsoft\Windows\Temporary%20Internet%20Files\Content.Outlook\ECBAQH5S\&#1044;&#1083;&#1103;%20&#1043;&#1054;%20(3).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800" b="1" i="0" u="none" strike="noStrike" baseline="0">
                <a:effectLst/>
              </a:rPr>
              <a:t>OUTGOING PAYMENTS</a:t>
            </a:r>
            <a:endParaRPr lang="ru-RU"/>
          </a:p>
        </c:rich>
      </c:tx>
      <c:overlay val="0"/>
    </c:title>
    <c:autoTitleDeleted val="0"/>
    <c:plotArea>
      <c:layout/>
      <c:lineChart>
        <c:grouping val="standard"/>
        <c:varyColors val="0"/>
        <c:ser>
          <c:idx val="0"/>
          <c:order val="0"/>
          <c:tx>
            <c:strRef>
              <c:f>Лист1!$A$9:$B$9</c:f>
              <c:strCache>
                <c:ptCount val="1"/>
                <c:pt idx="0">
                  <c:v>ИСХОДЯЩИЕ ПЛАТЕЖИ</c:v>
                </c:pt>
              </c:strCache>
            </c:strRef>
          </c:tx>
          <c:cat>
            <c:numRef>
              <c:f>Лист1!$C$8:$G$8</c:f>
              <c:numCache>
                <c:formatCode>General</c:formatCode>
                <c:ptCount val="5"/>
                <c:pt idx="0">
                  <c:v>2009</c:v>
                </c:pt>
                <c:pt idx="1">
                  <c:v>2010</c:v>
                </c:pt>
                <c:pt idx="2">
                  <c:v>2011</c:v>
                </c:pt>
                <c:pt idx="3">
                  <c:v>2012</c:v>
                </c:pt>
                <c:pt idx="4">
                  <c:v>2013</c:v>
                </c:pt>
              </c:numCache>
            </c:numRef>
          </c:cat>
          <c:val>
            <c:numRef>
              <c:f>Лист1!$C$9:$G$9</c:f>
              <c:numCache>
                <c:formatCode>General</c:formatCode>
                <c:ptCount val="5"/>
                <c:pt idx="0">
                  <c:v>2325</c:v>
                </c:pt>
                <c:pt idx="1">
                  <c:v>2900</c:v>
                </c:pt>
                <c:pt idx="2">
                  <c:v>22910</c:v>
                </c:pt>
                <c:pt idx="3">
                  <c:v>37961</c:v>
                </c:pt>
                <c:pt idx="4">
                  <c:v>41975</c:v>
                </c:pt>
              </c:numCache>
            </c:numRef>
          </c:val>
          <c:smooth val="0"/>
        </c:ser>
        <c:dLbls>
          <c:showLegendKey val="0"/>
          <c:showVal val="0"/>
          <c:showCatName val="0"/>
          <c:showSerName val="0"/>
          <c:showPercent val="0"/>
          <c:showBubbleSize val="0"/>
        </c:dLbls>
        <c:marker val="1"/>
        <c:smooth val="0"/>
        <c:axId val="680642048"/>
        <c:axId val="600670784"/>
      </c:lineChart>
      <c:catAx>
        <c:axId val="680642048"/>
        <c:scaling>
          <c:orientation val="minMax"/>
        </c:scaling>
        <c:delete val="0"/>
        <c:axPos val="b"/>
        <c:numFmt formatCode="General" sourceLinked="1"/>
        <c:majorTickMark val="out"/>
        <c:minorTickMark val="none"/>
        <c:tickLblPos val="nextTo"/>
        <c:crossAx val="600670784"/>
        <c:crosses val="autoZero"/>
        <c:auto val="1"/>
        <c:lblAlgn val="ctr"/>
        <c:lblOffset val="100"/>
        <c:noMultiLvlLbl val="0"/>
      </c:catAx>
      <c:valAx>
        <c:axId val="600670784"/>
        <c:scaling>
          <c:orientation val="minMax"/>
        </c:scaling>
        <c:delete val="0"/>
        <c:axPos val="l"/>
        <c:majorGridlines/>
        <c:numFmt formatCode="General" sourceLinked="1"/>
        <c:majorTickMark val="out"/>
        <c:minorTickMark val="none"/>
        <c:tickLblPos val="nextTo"/>
        <c:crossAx val="68064204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800" b="1" i="0" u="none" strike="noStrike" baseline="0">
                <a:effectLst/>
              </a:rPr>
              <a:t>TOTAL DOCUMENT FLOW</a:t>
            </a:r>
            <a:endParaRPr lang="ru-RU"/>
          </a:p>
        </c:rich>
      </c:tx>
      <c:overlay val="0"/>
    </c:title>
    <c:autoTitleDeleted val="0"/>
    <c:plotArea>
      <c:layout/>
      <c:lineChart>
        <c:grouping val="standard"/>
        <c:varyColors val="0"/>
        <c:ser>
          <c:idx val="0"/>
          <c:order val="0"/>
          <c:tx>
            <c:strRef>
              <c:f>Лист1!$A$33</c:f>
              <c:strCache>
                <c:ptCount val="1"/>
                <c:pt idx="0">
                  <c:v>СУММАРНЫЙ ДОКУМЕНТООБОРОТ</c:v>
                </c:pt>
              </c:strCache>
            </c:strRef>
          </c:tx>
          <c:marker>
            <c:symbol val="none"/>
          </c:marker>
          <c:cat>
            <c:numRef>
              <c:f>Лист1!$B$32:$F$32</c:f>
              <c:numCache>
                <c:formatCode>General</c:formatCode>
                <c:ptCount val="5"/>
                <c:pt idx="0">
                  <c:v>2009</c:v>
                </c:pt>
                <c:pt idx="1">
                  <c:v>2010</c:v>
                </c:pt>
                <c:pt idx="2">
                  <c:v>2011</c:v>
                </c:pt>
                <c:pt idx="3">
                  <c:v>2012</c:v>
                </c:pt>
                <c:pt idx="4">
                  <c:v>2013</c:v>
                </c:pt>
              </c:numCache>
            </c:numRef>
          </c:cat>
          <c:val>
            <c:numRef>
              <c:f>Лист1!$B$33:$F$33</c:f>
              <c:numCache>
                <c:formatCode>General</c:formatCode>
                <c:ptCount val="5"/>
                <c:pt idx="0">
                  <c:v>6162</c:v>
                </c:pt>
                <c:pt idx="1">
                  <c:v>15311</c:v>
                </c:pt>
                <c:pt idx="2">
                  <c:v>16609</c:v>
                </c:pt>
                <c:pt idx="3">
                  <c:v>19169</c:v>
                </c:pt>
                <c:pt idx="4">
                  <c:v>30222</c:v>
                </c:pt>
              </c:numCache>
            </c:numRef>
          </c:val>
          <c:smooth val="0"/>
        </c:ser>
        <c:dLbls>
          <c:showLegendKey val="0"/>
          <c:showVal val="0"/>
          <c:showCatName val="0"/>
          <c:showSerName val="0"/>
          <c:showPercent val="0"/>
          <c:showBubbleSize val="0"/>
        </c:dLbls>
        <c:marker val="1"/>
        <c:smooth val="0"/>
        <c:axId val="680644096"/>
        <c:axId val="600653120"/>
      </c:lineChart>
      <c:catAx>
        <c:axId val="680644096"/>
        <c:scaling>
          <c:orientation val="minMax"/>
        </c:scaling>
        <c:delete val="0"/>
        <c:axPos val="b"/>
        <c:numFmt formatCode="General" sourceLinked="1"/>
        <c:majorTickMark val="out"/>
        <c:minorTickMark val="none"/>
        <c:tickLblPos val="nextTo"/>
        <c:crossAx val="600653120"/>
        <c:crosses val="autoZero"/>
        <c:auto val="1"/>
        <c:lblAlgn val="ctr"/>
        <c:lblOffset val="100"/>
        <c:noMultiLvlLbl val="0"/>
      </c:catAx>
      <c:valAx>
        <c:axId val="600653120"/>
        <c:scaling>
          <c:orientation val="minMax"/>
        </c:scaling>
        <c:delete val="0"/>
        <c:axPos val="l"/>
        <c:majorGridlines/>
        <c:numFmt formatCode="General" sourceLinked="1"/>
        <c:majorTickMark val="out"/>
        <c:minorTickMark val="none"/>
        <c:tickLblPos val="nextTo"/>
        <c:crossAx val="680644096"/>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0805631674895262E-2"/>
          <c:y val="0.13263772196073256"/>
          <c:w val="0.72856928598210935"/>
          <c:h val="0.7655572662355753"/>
        </c:manualLayout>
      </c:layout>
      <c:lineChart>
        <c:grouping val="standard"/>
        <c:varyColors val="0"/>
        <c:ser>
          <c:idx val="0"/>
          <c:order val="0"/>
          <c:tx>
            <c:strRef>
              <c:f>'Раздел 9'!$A$28</c:f>
              <c:strCache>
                <c:ptCount val="1"/>
                <c:pt idx="0">
                  <c:v>Капитал</c:v>
                </c:pt>
              </c:strCache>
            </c:strRef>
          </c:tx>
          <c:marker>
            <c:symbol val="circle"/>
            <c:size val="5"/>
          </c:marker>
          <c:dLbls>
            <c:dLbl>
              <c:idx val="0"/>
              <c:layout>
                <c:manualLayout>
                  <c:x val="-3.9158100832109639E-2"/>
                  <c:y val="-5.3619302949061795E-2"/>
                </c:manualLayout>
              </c:layout>
              <c:showLegendKey val="0"/>
              <c:showVal val="1"/>
              <c:showCatName val="0"/>
              <c:showSerName val="0"/>
              <c:showPercent val="0"/>
              <c:showBubbleSize val="0"/>
            </c:dLbl>
            <c:dLbl>
              <c:idx val="1"/>
              <c:layout>
                <c:manualLayout>
                  <c:x val="-5.2863436123348088E-2"/>
                  <c:y val="-4.6470062555853439E-2"/>
                </c:manualLayout>
              </c:layout>
              <c:showLegendKey val="0"/>
              <c:showVal val="1"/>
              <c:showCatName val="0"/>
              <c:showSerName val="0"/>
              <c:showPercent val="0"/>
              <c:showBubbleSize val="0"/>
            </c:dLbl>
            <c:dLbl>
              <c:idx val="2"/>
              <c:layout>
                <c:manualLayout>
                  <c:x val="-7.63582966226138E-2"/>
                  <c:y val="-4.2895442359249462E-2"/>
                </c:manualLayout>
              </c:layout>
              <c:showLegendKey val="0"/>
              <c:showVal val="1"/>
              <c:showCatName val="0"/>
              <c:showSerName val="0"/>
              <c:showPercent val="0"/>
              <c:showBubbleSize val="0"/>
            </c:dLbl>
            <c:dLbl>
              <c:idx val="3"/>
              <c:layout>
                <c:manualLayout>
                  <c:x val="-8.2232011747430181E-2"/>
                  <c:y val="-4.6470062555853509E-2"/>
                </c:manualLayout>
              </c:layout>
              <c:showLegendKey val="0"/>
              <c:showVal val="1"/>
              <c:showCatName val="0"/>
              <c:showSerName val="0"/>
              <c:showPercent val="0"/>
              <c:showBubbleSize val="0"/>
            </c:dLbl>
            <c:dLbl>
              <c:idx val="4"/>
              <c:layout>
                <c:manualLayout>
                  <c:x val="-7.075758387344433E-2"/>
                  <c:y val="-5.3619261279490835E-2"/>
                </c:manualLayout>
              </c:layout>
              <c:showLegendKey val="0"/>
              <c:showVal val="1"/>
              <c:showCatName val="0"/>
              <c:showSerName val="0"/>
              <c:showPercent val="0"/>
              <c:showBubbleSize val="0"/>
            </c:dLbl>
            <c:dLbl>
              <c:idx val="5"/>
              <c:layout>
                <c:manualLayout>
                  <c:x val="-8.1193065152570104E-2"/>
                  <c:y val="-6.7039106145251395E-2"/>
                </c:manualLayout>
              </c:layout>
              <c:showLegendKey val="0"/>
              <c:showVal val="1"/>
              <c:showCatName val="0"/>
              <c:showSerName val="0"/>
              <c:showPercent val="0"/>
              <c:showBubbleSize val="0"/>
            </c:dLbl>
            <c:dLbl>
              <c:idx val="6"/>
              <c:layout>
                <c:manualLayout>
                  <c:x val="-6.34920634920636E-2"/>
                  <c:y val="-5.5865921787709515E-2"/>
                </c:manualLayout>
              </c:layout>
              <c:showLegendKey val="0"/>
              <c:showVal val="1"/>
              <c:showCatName val="0"/>
              <c:showSerName val="0"/>
              <c:showPercent val="0"/>
              <c:showBubbleSize val="0"/>
            </c:dLbl>
            <c:txPr>
              <a:bodyPr/>
              <a:lstStyle/>
              <a:p>
                <a:pPr>
                  <a:defRPr sz="800"/>
                </a:pPr>
                <a:endParaRPr lang="ru-RU"/>
              </a:p>
            </c:txPr>
            <c:showLegendKey val="0"/>
            <c:showVal val="1"/>
            <c:showCatName val="0"/>
            <c:showSerName val="0"/>
            <c:showPercent val="0"/>
            <c:showBubbleSize val="0"/>
            <c:showLeaderLines val="0"/>
          </c:dLbls>
          <c:cat>
            <c:numRef>
              <c:f>'Раздел 9'!$B$27:$H$27</c:f>
              <c:numCache>
                <c:formatCode>General</c:formatCode>
                <c:ptCount val="7"/>
                <c:pt idx="0">
                  <c:v>2007</c:v>
                </c:pt>
                <c:pt idx="1">
                  <c:v>2008</c:v>
                </c:pt>
                <c:pt idx="2">
                  <c:v>2009</c:v>
                </c:pt>
                <c:pt idx="3">
                  <c:v>2010</c:v>
                </c:pt>
                <c:pt idx="4">
                  <c:v>2011</c:v>
                </c:pt>
                <c:pt idx="5">
                  <c:v>2012</c:v>
                </c:pt>
                <c:pt idx="6">
                  <c:v>2013</c:v>
                </c:pt>
              </c:numCache>
            </c:numRef>
          </c:cat>
          <c:val>
            <c:numRef>
              <c:f>'Раздел 9'!$B$28:$H$28</c:f>
              <c:numCache>
                <c:formatCode>_-* #,##0_р_._-;\-* #,##0_р_._-;_-* "-"??_р_._-;_-@_-</c:formatCode>
                <c:ptCount val="7"/>
                <c:pt idx="0">
                  <c:v>715875</c:v>
                </c:pt>
                <c:pt idx="1">
                  <c:v>2131622</c:v>
                </c:pt>
                <c:pt idx="2">
                  <c:v>4251640</c:v>
                </c:pt>
                <c:pt idx="3">
                  <c:v>8126112</c:v>
                </c:pt>
                <c:pt idx="4">
                  <c:v>9999913</c:v>
                </c:pt>
                <c:pt idx="5">
                  <c:v>13501400</c:v>
                </c:pt>
                <c:pt idx="6">
                  <c:v>28839271</c:v>
                </c:pt>
              </c:numCache>
            </c:numRef>
          </c:val>
          <c:smooth val="0"/>
        </c:ser>
        <c:ser>
          <c:idx val="1"/>
          <c:order val="1"/>
          <c:tx>
            <c:strRef>
              <c:f>'Раздел 9'!$A$29</c:f>
              <c:strCache>
                <c:ptCount val="1"/>
                <c:pt idx="0">
                  <c:v>Нераспределенная прибыль</c:v>
                </c:pt>
              </c:strCache>
            </c:strRef>
          </c:tx>
          <c:marker>
            <c:symbol val="square"/>
            <c:size val="5"/>
          </c:marker>
          <c:dLbls>
            <c:dLbl>
              <c:idx val="0"/>
              <c:layout>
                <c:manualLayout>
                  <c:x val="1.9577314740419492E-3"/>
                  <c:y val="3.6644525579553951E-2"/>
                </c:manualLayout>
              </c:layout>
              <c:showLegendKey val="0"/>
              <c:showVal val="1"/>
              <c:showCatName val="0"/>
              <c:showSerName val="0"/>
              <c:showPercent val="0"/>
              <c:showBubbleSize val="0"/>
            </c:dLbl>
            <c:dLbl>
              <c:idx val="1"/>
              <c:layout>
                <c:manualLayout>
                  <c:x val="1.2639729557614849E-2"/>
                  <c:y val="2.5920614671769381E-2"/>
                </c:manualLayout>
              </c:layout>
              <c:showLegendKey val="0"/>
              <c:showVal val="1"/>
              <c:showCatName val="0"/>
              <c:showSerName val="0"/>
              <c:showPercent val="0"/>
              <c:showBubbleSize val="0"/>
            </c:dLbl>
            <c:dLbl>
              <c:idx val="2"/>
              <c:layout>
                <c:manualLayout>
                  <c:x val="1.5390219079757888E-2"/>
                  <c:y val="4.0369213624833075E-2"/>
                </c:manualLayout>
              </c:layout>
              <c:showLegendKey val="0"/>
              <c:showVal val="1"/>
              <c:showCatName val="0"/>
              <c:showSerName val="0"/>
              <c:showPercent val="0"/>
              <c:showBubbleSize val="0"/>
            </c:dLbl>
            <c:dLbl>
              <c:idx val="3"/>
              <c:layout>
                <c:manualLayout>
                  <c:x val="1.3605323144130849E-2"/>
                  <c:y val="2.174723969559671E-2"/>
                </c:manualLayout>
              </c:layout>
              <c:showLegendKey val="0"/>
              <c:showVal val="1"/>
              <c:showCatName val="0"/>
              <c:showSerName val="0"/>
              <c:showPercent val="0"/>
              <c:showBubbleSize val="0"/>
            </c:dLbl>
            <c:dLbl>
              <c:idx val="4"/>
              <c:layout>
                <c:manualLayout>
                  <c:x val="-9.0702947845804991E-3"/>
                  <c:y val="3.2920424053138608E-2"/>
                </c:manualLayout>
              </c:layout>
              <c:showLegendKey val="0"/>
              <c:showVal val="1"/>
              <c:showCatName val="0"/>
              <c:showSerName val="0"/>
              <c:showPercent val="0"/>
              <c:showBubbleSize val="0"/>
            </c:dLbl>
            <c:dLbl>
              <c:idx val="5"/>
              <c:layout>
                <c:manualLayout>
                  <c:x val="-3.3284385707293342E-2"/>
                  <c:y val="-6.4343445005031211E-2"/>
                </c:manualLayout>
              </c:layout>
              <c:showLegendKey val="0"/>
              <c:showVal val="1"/>
              <c:showCatName val="0"/>
              <c:showSerName val="0"/>
              <c:showPercent val="0"/>
              <c:showBubbleSize val="0"/>
            </c:dLbl>
            <c:txPr>
              <a:bodyPr/>
              <a:lstStyle/>
              <a:p>
                <a:pPr>
                  <a:defRPr sz="800"/>
                </a:pPr>
                <a:endParaRPr lang="ru-RU"/>
              </a:p>
            </c:txPr>
            <c:showLegendKey val="0"/>
            <c:showVal val="1"/>
            <c:showCatName val="0"/>
            <c:showSerName val="0"/>
            <c:showPercent val="0"/>
            <c:showBubbleSize val="0"/>
            <c:showLeaderLines val="0"/>
          </c:dLbls>
          <c:cat>
            <c:numRef>
              <c:f>'Раздел 9'!$B$27:$H$27</c:f>
              <c:numCache>
                <c:formatCode>General</c:formatCode>
                <c:ptCount val="7"/>
                <c:pt idx="0">
                  <c:v>2007</c:v>
                </c:pt>
                <c:pt idx="1">
                  <c:v>2008</c:v>
                </c:pt>
                <c:pt idx="2">
                  <c:v>2009</c:v>
                </c:pt>
                <c:pt idx="3">
                  <c:v>2010</c:v>
                </c:pt>
                <c:pt idx="4">
                  <c:v>2011</c:v>
                </c:pt>
                <c:pt idx="5">
                  <c:v>2012</c:v>
                </c:pt>
                <c:pt idx="6">
                  <c:v>2013</c:v>
                </c:pt>
              </c:numCache>
            </c:numRef>
          </c:cat>
          <c:val>
            <c:numRef>
              <c:f>'Раздел 9'!$B$29:$H$29</c:f>
              <c:numCache>
                <c:formatCode>_-* #,##0_р_._-;\-* #,##0_р_._-;_-* "-"??_р_._-;_-@_-</c:formatCode>
                <c:ptCount val="7"/>
                <c:pt idx="0">
                  <c:v>15258</c:v>
                </c:pt>
                <c:pt idx="1">
                  <c:v>373478</c:v>
                </c:pt>
                <c:pt idx="2">
                  <c:v>937956</c:v>
                </c:pt>
                <c:pt idx="3">
                  <c:v>1738448</c:v>
                </c:pt>
                <c:pt idx="4">
                  <c:v>3615799</c:v>
                </c:pt>
                <c:pt idx="5">
                  <c:v>7034380</c:v>
                </c:pt>
                <c:pt idx="6">
                  <c:v>13371249</c:v>
                </c:pt>
              </c:numCache>
            </c:numRef>
          </c:val>
          <c:smooth val="0"/>
        </c:ser>
        <c:ser>
          <c:idx val="2"/>
          <c:order val="2"/>
          <c:tx>
            <c:strRef>
              <c:f>'Раздел 9'!$A$30</c:f>
              <c:strCache>
                <c:ptCount val="1"/>
                <c:pt idx="0">
                  <c:v>Уставный капитал</c:v>
                </c:pt>
              </c:strCache>
            </c:strRef>
          </c:tx>
          <c:marker>
            <c:symbol val="triangle"/>
            <c:size val="7"/>
          </c:marker>
          <c:dLbls>
            <c:dLbl>
              <c:idx val="0"/>
              <c:layout>
                <c:manualLayout>
                  <c:x val="1.680206640836562E-2"/>
                  <c:y val="3.1252657663602104E-3"/>
                </c:manualLayout>
              </c:layout>
              <c:showLegendKey val="0"/>
              <c:showVal val="1"/>
              <c:showCatName val="0"/>
              <c:showSerName val="0"/>
              <c:showPercent val="0"/>
              <c:showBubbleSize val="0"/>
            </c:dLbl>
            <c:dLbl>
              <c:idx val="1"/>
              <c:layout>
                <c:manualLayout>
                  <c:x val="-5.9737770873878864E-3"/>
                  <c:y val="1.7423715890262322E-2"/>
                </c:manualLayout>
              </c:layout>
              <c:showLegendKey val="0"/>
              <c:showVal val="1"/>
              <c:showCatName val="0"/>
              <c:showSerName val="0"/>
              <c:showPercent val="0"/>
              <c:showBubbleSize val="0"/>
            </c:dLbl>
            <c:dLbl>
              <c:idx val="2"/>
              <c:layout>
                <c:manualLayout>
                  <c:x val="-1.3385231607953767E-3"/>
                  <c:y val="-4.0968342644320296E-2"/>
                </c:manualLayout>
              </c:layout>
              <c:showLegendKey val="0"/>
              <c:showVal val="1"/>
              <c:showCatName val="0"/>
              <c:showSerName val="0"/>
              <c:showPercent val="0"/>
              <c:showBubbleSize val="0"/>
            </c:dLbl>
            <c:dLbl>
              <c:idx val="3"/>
              <c:layout>
                <c:manualLayout>
                  <c:x val="-1.219371388100297E-2"/>
                  <c:y val="-3.9041334916934269E-2"/>
                </c:manualLayout>
              </c:layout>
              <c:showLegendKey val="0"/>
              <c:showVal val="1"/>
              <c:showCatName val="0"/>
              <c:showSerName val="0"/>
              <c:showPercent val="0"/>
              <c:showBubbleSize val="0"/>
            </c:dLbl>
            <c:dLbl>
              <c:idx val="4"/>
              <c:layout>
                <c:manualLayout>
                  <c:x val="-2.3494860499265784E-2"/>
                  <c:y val="-3.2171581769436998E-2"/>
                </c:manualLayout>
              </c:layout>
              <c:showLegendKey val="0"/>
              <c:showVal val="1"/>
              <c:showCatName val="0"/>
              <c:showSerName val="0"/>
              <c:showPercent val="0"/>
              <c:showBubbleSize val="0"/>
            </c:dLbl>
            <c:dLbl>
              <c:idx val="5"/>
              <c:layout>
                <c:manualLayout>
                  <c:x val="-3.3284385707293196E-2"/>
                  <c:y val="5.0044682752457423E-2"/>
                </c:manualLayout>
              </c:layout>
              <c:showLegendKey val="0"/>
              <c:showVal val="1"/>
              <c:showCatName val="0"/>
              <c:showSerName val="0"/>
              <c:showPercent val="0"/>
              <c:showBubbleSize val="0"/>
            </c:dLbl>
            <c:dLbl>
              <c:idx val="6"/>
              <c:layout>
                <c:manualLayout>
                  <c:x val="-4.5351473922903606E-3"/>
                  <c:y val="-4.0968342644320296E-2"/>
                </c:manualLayout>
              </c:layout>
              <c:showLegendKey val="0"/>
              <c:showVal val="1"/>
              <c:showCatName val="0"/>
              <c:showSerName val="0"/>
              <c:showPercent val="0"/>
              <c:showBubbleSize val="0"/>
            </c:dLbl>
            <c:txPr>
              <a:bodyPr/>
              <a:lstStyle/>
              <a:p>
                <a:pPr>
                  <a:defRPr sz="800"/>
                </a:pPr>
                <a:endParaRPr lang="ru-RU"/>
              </a:p>
            </c:txPr>
            <c:showLegendKey val="0"/>
            <c:showVal val="1"/>
            <c:showCatName val="0"/>
            <c:showSerName val="0"/>
            <c:showPercent val="0"/>
            <c:showBubbleSize val="0"/>
            <c:showLeaderLines val="0"/>
          </c:dLbls>
          <c:cat>
            <c:numRef>
              <c:f>'Раздел 9'!$B$27:$H$27</c:f>
              <c:numCache>
                <c:formatCode>General</c:formatCode>
                <c:ptCount val="7"/>
                <c:pt idx="0">
                  <c:v>2007</c:v>
                </c:pt>
                <c:pt idx="1">
                  <c:v>2008</c:v>
                </c:pt>
                <c:pt idx="2">
                  <c:v>2009</c:v>
                </c:pt>
                <c:pt idx="3">
                  <c:v>2010</c:v>
                </c:pt>
                <c:pt idx="4">
                  <c:v>2011</c:v>
                </c:pt>
                <c:pt idx="5">
                  <c:v>2012</c:v>
                </c:pt>
                <c:pt idx="6">
                  <c:v>2013</c:v>
                </c:pt>
              </c:numCache>
            </c:numRef>
          </c:cat>
          <c:val>
            <c:numRef>
              <c:f>'Раздел 9'!$B$30:$H$30</c:f>
              <c:numCache>
                <c:formatCode>_-* #,##0_р_._-;\-* #,##0_р_._-;_-* "-"??_р_._-;_-@_-</c:formatCode>
                <c:ptCount val="7"/>
                <c:pt idx="0">
                  <c:v>700000</c:v>
                </c:pt>
                <c:pt idx="1">
                  <c:v>1735000</c:v>
                </c:pt>
                <c:pt idx="2">
                  <c:v>1735000</c:v>
                </c:pt>
                <c:pt idx="3">
                  <c:v>4435000</c:v>
                </c:pt>
                <c:pt idx="4">
                  <c:v>6170000</c:v>
                </c:pt>
                <c:pt idx="5">
                  <c:v>6170000</c:v>
                </c:pt>
                <c:pt idx="6">
                  <c:v>15170000</c:v>
                </c:pt>
              </c:numCache>
            </c:numRef>
          </c:val>
          <c:smooth val="0"/>
        </c:ser>
        <c:dLbls>
          <c:showLegendKey val="0"/>
          <c:showVal val="0"/>
          <c:showCatName val="0"/>
          <c:showSerName val="0"/>
          <c:showPercent val="0"/>
          <c:showBubbleSize val="0"/>
        </c:dLbls>
        <c:marker val="1"/>
        <c:smooth val="0"/>
        <c:axId val="682200064"/>
        <c:axId val="600673664"/>
      </c:lineChart>
      <c:catAx>
        <c:axId val="682200064"/>
        <c:scaling>
          <c:orientation val="minMax"/>
        </c:scaling>
        <c:delete val="0"/>
        <c:axPos val="b"/>
        <c:numFmt formatCode="General" sourceLinked="1"/>
        <c:majorTickMark val="out"/>
        <c:minorTickMark val="none"/>
        <c:tickLblPos val="nextTo"/>
        <c:txPr>
          <a:bodyPr/>
          <a:lstStyle/>
          <a:p>
            <a:pPr>
              <a:defRPr b="1" i="0" baseline="0"/>
            </a:pPr>
            <a:endParaRPr lang="ru-RU"/>
          </a:p>
        </c:txPr>
        <c:crossAx val="600673664"/>
        <c:crosses val="autoZero"/>
        <c:auto val="1"/>
        <c:lblAlgn val="ctr"/>
        <c:lblOffset val="100"/>
        <c:noMultiLvlLbl val="0"/>
      </c:catAx>
      <c:valAx>
        <c:axId val="600673664"/>
        <c:scaling>
          <c:orientation val="minMax"/>
          <c:max val="30000000"/>
        </c:scaling>
        <c:delete val="1"/>
        <c:axPos val="l"/>
        <c:majorGridlines/>
        <c:numFmt formatCode="_-* #,##0_р_._-;\-* #,##0_р_._-;_-* &quot;-&quot;??_р_._-;_-@_-" sourceLinked="1"/>
        <c:majorTickMark val="out"/>
        <c:minorTickMark val="none"/>
        <c:tickLblPos val="nextTo"/>
        <c:crossAx val="682200064"/>
        <c:crosses val="autoZero"/>
        <c:crossBetween val="between"/>
      </c:valAx>
    </c:plotArea>
    <c:legend>
      <c:legendPos val="r"/>
      <c:layout>
        <c:manualLayout>
          <c:xMode val="edge"/>
          <c:yMode val="edge"/>
          <c:x val="0.80867644848358711"/>
          <c:y val="0.34387001892859909"/>
          <c:w val="0.1902719869267443"/>
          <c:h val="0.42609134984132346"/>
        </c:manualLayout>
      </c:layout>
      <c:overlay val="0"/>
      <c:txPr>
        <a:bodyPr/>
        <a:lstStyle/>
        <a:p>
          <a:pPr>
            <a:defRPr sz="800" b="1" i="0" baseline="0"/>
          </a:pPr>
          <a:endParaRPr lang="ru-RU"/>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a:pPr>
            <a:r>
              <a:rPr lang="en-US" sz="900"/>
              <a:t>The</a:t>
            </a:r>
            <a:r>
              <a:rPr lang="en-US" sz="900" baseline="0"/>
              <a:t> number of CJSC JSCB NCC employees broken down by departments as of 31 December 2013  </a:t>
            </a:r>
            <a:endParaRPr lang="ru-RU" sz="900"/>
          </a:p>
        </c:rich>
      </c:tx>
      <c:layout>
        <c:manualLayout>
          <c:xMode val="edge"/>
          <c:yMode val="edge"/>
          <c:x val="0.12925353805710782"/>
          <c:y val="1.4552067038049931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5595429823374421E-2"/>
          <c:y val="0.20814554817034969"/>
          <c:w val="0.48774929133858269"/>
          <c:h val="0.65428375288674012"/>
        </c:manualLayout>
      </c:layout>
      <c:pie3DChart>
        <c:varyColors val="1"/>
        <c:ser>
          <c:idx val="0"/>
          <c:order val="0"/>
          <c:explosion val="25"/>
          <c:dPt>
            <c:idx val="0"/>
            <c:bubble3D val="0"/>
            <c:explosion val="11"/>
          </c:dPt>
          <c:dPt>
            <c:idx val="2"/>
            <c:bubble3D val="0"/>
            <c:explosion val="22"/>
          </c:dPt>
          <c:dLbls>
            <c:dLbl>
              <c:idx val="5"/>
              <c:layout>
                <c:manualLayout>
                  <c:x val="3.3538358536975857E-2"/>
                  <c:y val="-5.015557846677745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0838319162201276E-2"/>
                  <c:y val="5.5544208635391369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8567817741379145E-2"/>
                  <c:y val="4.764656122911112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Лист1!$A$2:$A$10</c:f>
              <c:strCache>
                <c:ptCount val="9"/>
                <c:pt idx="0">
                  <c:v>Department of Analysis and Risk Control</c:v>
                </c:pt>
                <c:pt idx="1">
                  <c:v>Department of Information Technologies</c:v>
                </c:pt>
                <c:pt idx="2">
                  <c:v>Clearing Department</c:v>
                </c:pt>
                <c:pt idx="3">
                  <c:v>Management</c:v>
                </c:pt>
                <c:pt idx="4">
                  <c:v>Accounting and Tax Department</c:v>
                </c:pt>
                <c:pt idx="5">
                  <c:v>Treasury Operations Department</c:v>
                </c:pt>
                <c:pt idx="6">
                  <c:v>Settlement Department</c:v>
                </c:pt>
                <c:pt idx="7">
                  <c:v>Treasury Operations Centre </c:v>
                </c:pt>
                <c:pt idx="8">
                  <c:v>Other</c:v>
                </c:pt>
              </c:strCache>
            </c:strRef>
          </c:cat>
          <c:val>
            <c:numRef>
              <c:f>Лист1!$B$2:$B$10</c:f>
              <c:numCache>
                <c:formatCode>General</c:formatCode>
                <c:ptCount val="9"/>
                <c:pt idx="0">
                  <c:v>23</c:v>
                </c:pt>
                <c:pt idx="1">
                  <c:v>15</c:v>
                </c:pt>
                <c:pt idx="2">
                  <c:v>35</c:v>
                </c:pt>
                <c:pt idx="3">
                  <c:v>11</c:v>
                </c:pt>
                <c:pt idx="4">
                  <c:v>13</c:v>
                </c:pt>
                <c:pt idx="5">
                  <c:v>7</c:v>
                </c:pt>
                <c:pt idx="6">
                  <c:v>5</c:v>
                </c:pt>
                <c:pt idx="7">
                  <c:v>7</c:v>
                </c:pt>
                <c:pt idx="8">
                  <c:v>20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7678593175853021"/>
          <c:y val="0.16243885352394818"/>
          <c:w val="0.35589816272965874"/>
          <c:h val="0.80143702608085376"/>
        </c:manualLayout>
      </c:layout>
      <c:overlay val="0"/>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0.16129</cdr:x>
      <cdr:y>0.02695</cdr:y>
    </cdr:from>
    <cdr:to>
      <cdr:x>0.92354</cdr:x>
      <cdr:y>0.08356</cdr:y>
    </cdr:to>
    <cdr:sp macro="" textlink="">
      <cdr:nvSpPr>
        <cdr:cNvPr id="2" name="TextBox 1"/>
        <cdr:cNvSpPr txBox="1"/>
      </cdr:nvSpPr>
      <cdr:spPr>
        <a:xfrm xmlns:a="http://schemas.openxmlformats.org/drawingml/2006/main">
          <a:off x="1285874" y="95249"/>
          <a:ext cx="6076950" cy="2000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A2012-2D8E-48BF-8379-E563435F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21120</Words>
  <Characters>120385</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Кудасов Сергей Эдмундович</dc:creator>
  <cp:lastModifiedBy>Кудасов Сергей Эдмундович</cp:lastModifiedBy>
  <cp:revision>3</cp:revision>
  <dcterms:created xsi:type="dcterms:W3CDTF">2014-08-11T04:26:00Z</dcterms:created>
  <dcterms:modified xsi:type="dcterms:W3CDTF">2014-08-11T07:54:00Z</dcterms:modified>
</cp:coreProperties>
</file>