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8A" w:rsidRDefault="00EC628A" w:rsidP="00EC628A">
      <w:pPr>
        <w:pStyle w:val="a8"/>
        <w:widowControl w:val="0"/>
        <w:tabs>
          <w:tab w:val="right" w:pos="9356"/>
        </w:tabs>
        <w:overflowPunct/>
        <w:autoSpaceDE/>
        <w:autoSpaceDN/>
        <w:spacing w:before="120"/>
        <w:outlineLvl w:val="9"/>
        <w:rPr>
          <w:bCs w:val="0"/>
          <w:iCs/>
        </w:rPr>
      </w:pPr>
      <w:r w:rsidRPr="00AF07B6">
        <w:rPr>
          <w:bCs w:val="0"/>
          <w:iCs/>
        </w:rPr>
        <w:t>(На бланке организации)</w:t>
      </w:r>
    </w:p>
    <w:p w:rsidR="000C255E" w:rsidRPr="000C255E" w:rsidRDefault="000C255E" w:rsidP="00EC628A">
      <w:pPr>
        <w:pStyle w:val="a8"/>
        <w:widowControl w:val="0"/>
        <w:tabs>
          <w:tab w:val="right" w:pos="9356"/>
        </w:tabs>
        <w:overflowPunct/>
        <w:autoSpaceDE/>
        <w:autoSpaceDN/>
        <w:spacing w:before="120"/>
        <w:outlineLvl w:val="9"/>
      </w:pPr>
      <w:r w:rsidRPr="000C255E">
        <w:rPr>
          <w:bCs w:val="0"/>
          <w:iCs/>
        </w:rPr>
        <w:t>(</w:t>
      </w:r>
      <w:r>
        <w:rPr>
          <w:bCs w:val="0"/>
          <w:iCs/>
          <w:lang w:val="en-US"/>
        </w:rPr>
        <w:t>Letterhead</w:t>
      </w:r>
      <w:r w:rsidRPr="000C255E">
        <w:rPr>
          <w:bCs w:val="0"/>
          <w:iCs/>
        </w:rPr>
        <w:t>)</w:t>
      </w:r>
    </w:p>
    <w:p w:rsidR="00EC628A" w:rsidRDefault="00EC628A" w:rsidP="00EC628A">
      <w:pPr>
        <w:pStyle w:val="Headcenter"/>
        <w:jc w:val="right"/>
        <w:rPr>
          <w:b w:val="0"/>
          <w:i/>
        </w:rPr>
      </w:pPr>
      <w:r w:rsidRPr="00EF7EC9">
        <w:rPr>
          <w:b w:val="0"/>
          <w:i/>
        </w:rPr>
        <w:t xml:space="preserve">В </w:t>
      </w:r>
      <w:r>
        <w:rPr>
          <w:b w:val="0"/>
          <w:i/>
        </w:rPr>
        <w:t>НКО</w:t>
      </w:r>
      <w:r w:rsidRPr="00F523E5">
        <w:rPr>
          <w:b w:val="0"/>
          <w:i/>
        </w:rPr>
        <w:t xml:space="preserve"> НКЦ (АО)</w:t>
      </w:r>
    </w:p>
    <w:p w:rsidR="000C255E" w:rsidRPr="000C255E" w:rsidRDefault="000C255E" w:rsidP="000C255E">
      <w:pPr>
        <w:pStyle w:val="Headcenter"/>
        <w:spacing w:before="0"/>
        <w:jc w:val="right"/>
        <w:rPr>
          <w:b w:val="0"/>
          <w:i/>
          <w:lang w:val="en-US"/>
        </w:rPr>
      </w:pPr>
      <w:r>
        <w:rPr>
          <w:b w:val="0"/>
          <w:i/>
          <w:lang w:val="en-US"/>
        </w:rPr>
        <w:t>To CCP NCC</w:t>
      </w:r>
    </w:p>
    <w:p w:rsidR="00EC628A" w:rsidRPr="00EF7EC9" w:rsidRDefault="00EC628A" w:rsidP="00EC628A">
      <w:pPr>
        <w:pStyle w:val="Headcenter"/>
        <w:widowControl w:val="0"/>
        <w:tabs>
          <w:tab w:val="right" w:pos="9356"/>
        </w:tabs>
        <w:adjustRightInd w:val="0"/>
        <w:spacing w:before="0"/>
        <w:ind w:left="142"/>
        <w:jc w:val="right"/>
        <w:textAlignment w:val="baseline"/>
        <w:rPr>
          <w:noProof/>
        </w:rPr>
      </w:pPr>
    </w:p>
    <w:p w:rsidR="000C255E" w:rsidRDefault="00EC628A" w:rsidP="00EC628A">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rStyle w:val="aa"/>
          <w:rFonts w:ascii="Times New Roman CYR" w:eastAsia="Times New Roman" w:hAnsi="Times New Roman CYR" w:cs="Arial"/>
          <w:b/>
          <w:caps/>
          <w:szCs w:val="20"/>
          <w:lang w:eastAsia="ar-SA"/>
        </w:rPr>
      </w:pPr>
      <w:r>
        <w:rPr>
          <w:rStyle w:val="aa"/>
          <w:rFonts w:ascii="Times New Roman CYR" w:eastAsia="Times New Roman" w:hAnsi="Times New Roman CYR" w:cs="Arial"/>
          <w:b/>
          <w:caps/>
          <w:szCs w:val="20"/>
          <w:lang w:eastAsia="ar-SA"/>
        </w:rPr>
        <w:t>заПРОС НА ОТКРЫТИЕ ТОРГОВО-КЛИРИНГОВОГО СЧЕТА 2-ГО УРОВНЯ</w:t>
      </w:r>
    </w:p>
    <w:p w:rsidR="00EC628A" w:rsidRPr="000C255E" w:rsidRDefault="000C255E" w:rsidP="00EC628A">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rStyle w:val="aa"/>
          <w:rFonts w:ascii="Times New Roman CYR" w:eastAsia="Times New Roman" w:hAnsi="Times New Roman CYR" w:cs="Arial"/>
          <w:b/>
          <w:caps/>
          <w:szCs w:val="20"/>
          <w:lang w:val="en-US" w:eastAsia="ar-SA"/>
        </w:rPr>
      </w:pPr>
      <w:r>
        <w:rPr>
          <w:rStyle w:val="aa"/>
          <w:rFonts w:ascii="Times New Roman CYR" w:eastAsia="Times New Roman" w:hAnsi="Times New Roman CYR" w:cs="Arial"/>
          <w:b/>
          <w:caps/>
          <w:szCs w:val="20"/>
          <w:lang w:val="en-US" w:eastAsia="ar-SA"/>
        </w:rPr>
        <w:t>REQUEST FOR THE REGISTRATION OF THE TRADE ACCOUNT OF THE 2</w:t>
      </w:r>
      <w:r w:rsidRPr="000C255E">
        <w:rPr>
          <w:rStyle w:val="aa"/>
          <w:rFonts w:ascii="Times New Roman CYR" w:eastAsia="Times New Roman" w:hAnsi="Times New Roman CYR" w:cs="Arial"/>
          <w:b/>
          <w:caps/>
          <w:szCs w:val="20"/>
          <w:vertAlign w:val="superscript"/>
          <w:lang w:val="en-US" w:eastAsia="ar-SA"/>
        </w:rPr>
        <w:t>ND</w:t>
      </w:r>
      <w:r>
        <w:rPr>
          <w:rStyle w:val="aa"/>
          <w:rFonts w:ascii="Times New Roman CYR" w:eastAsia="Times New Roman" w:hAnsi="Times New Roman CYR" w:cs="Arial"/>
          <w:b/>
          <w:caps/>
          <w:szCs w:val="20"/>
          <w:lang w:val="en-US" w:eastAsia="ar-SA"/>
        </w:rPr>
        <w:t xml:space="preserve"> LEVEL</w:t>
      </w:r>
      <w:r w:rsidR="00EC628A" w:rsidRPr="000C255E">
        <w:rPr>
          <w:rStyle w:val="aa"/>
          <w:rFonts w:ascii="Times New Roman CYR" w:eastAsia="Times New Roman" w:hAnsi="Times New Roman CYR" w:cs="Arial"/>
          <w:b/>
          <w:caps/>
          <w:szCs w:val="20"/>
          <w:lang w:val="en-US" w:eastAsia="ar-SA"/>
        </w:rPr>
        <w:t xml:space="preserve"> </w:t>
      </w:r>
    </w:p>
    <w:p w:rsidR="00EC628A" w:rsidRPr="000C255E" w:rsidRDefault="00EC628A" w:rsidP="00EC628A">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rStyle w:val="aa"/>
          <w:rFonts w:ascii="Times New Roman CYR" w:eastAsia="Times New Roman" w:hAnsi="Times New Roman CYR" w:cs="Arial"/>
          <w:b/>
          <w:caps/>
          <w:szCs w:val="20"/>
          <w:lang w:val="en-US" w:eastAsia="ar-SA"/>
        </w:rPr>
      </w:pPr>
    </w:p>
    <w:p w:rsidR="00EC628A" w:rsidRPr="00684C59" w:rsidRDefault="00EC628A" w:rsidP="00EC628A">
      <w:pPr>
        <w:widowControl w:val="0"/>
        <w:shd w:val="clear" w:color="auto" w:fill="FFFFFF"/>
        <w:tabs>
          <w:tab w:val="left" w:leader="underscore" w:pos="7550"/>
          <w:tab w:val="right" w:pos="9356"/>
        </w:tabs>
        <w:overflowPunct/>
        <w:spacing w:line="360" w:lineRule="atLeast"/>
        <w:ind w:left="14"/>
        <w:jc w:val="center"/>
        <w:rPr>
          <w:b/>
          <w:noProof/>
          <w:sz w:val="24"/>
          <w:szCs w:val="24"/>
        </w:rPr>
      </w:pPr>
      <w:r w:rsidRPr="00684C59">
        <w:rPr>
          <w:b/>
          <w:noProof/>
          <w:sz w:val="24"/>
          <w:szCs w:val="24"/>
        </w:rPr>
        <w:t>____________________________________________________________________________</w:t>
      </w:r>
      <w:r>
        <w:rPr>
          <w:b/>
          <w:noProof/>
          <w:sz w:val="24"/>
          <w:szCs w:val="24"/>
        </w:rPr>
        <w:t>_</w:t>
      </w:r>
      <w:r w:rsidRPr="00684C59">
        <w:rPr>
          <w:b/>
          <w:noProof/>
          <w:sz w:val="24"/>
          <w:szCs w:val="24"/>
        </w:rPr>
        <w:t>,</w:t>
      </w:r>
    </w:p>
    <w:p w:rsidR="00EC628A" w:rsidRDefault="00EC628A" w:rsidP="00EC628A">
      <w:pPr>
        <w:jc w:val="center"/>
      </w:pPr>
      <w:r w:rsidRPr="00EF7EC9">
        <w:t xml:space="preserve"> (</w:t>
      </w:r>
      <w:r w:rsidRPr="00EF7EC9">
        <w:rPr>
          <w:i/>
        </w:rPr>
        <w:t>полное наименование Участника клиринга</w:t>
      </w:r>
      <w:r w:rsidRPr="00EF7EC9">
        <w:t>)</w:t>
      </w:r>
    </w:p>
    <w:p w:rsidR="000C255E" w:rsidRPr="000C255E" w:rsidRDefault="000C255E" w:rsidP="00EC628A">
      <w:pPr>
        <w:jc w:val="center"/>
        <w:rPr>
          <w:i/>
        </w:rPr>
      </w:pPr>
      <w:r w:rsidRPr="000C255E">
        <w:rPr>
          <w:i/>
        </w:rPr>
        <w:t>(full name of the Clearing Member)</w:t>
      </w:r>
    </w:p>
    <w:p w:rsidR="00EC628A" w:rsidRPr="000C255E" w:rsidRDefault="00EC628A" w:rsidP="00EC628A">
      <w:pPr>
        <w:rPr>
          <w:sz w:val="22"/>
          <w:szCs w:val="22"/>
          <w:lang w:val="en-US"/>
        </w:rPr>
      </w:pPr>
    </w:p>
    <w:p w:rsidR="00EC628A" w:rsidRDefault="00EC628A" w:rsidP="000C255E">
      <w:pPr>
        <w:widowControl w:val="0"/>
        <w:tabs>
          <w:tab w:val="right" w:pos="9356"/>
        </w:tabs>
        <w:overflowPunct/>
        <w:jc w:val="both"/>
        <w:rPr>
          <w:rFonts w:cs="Arial"/>
          <w:sz w:val="24"/>
          <w:szCs w:val="24"/>
        </w:rPr>
      </w:pPr>
      <w:r>
        <w:rPr>
          <w:rFonts w:cs="Arial"/>
          <w:sz w:val="24"/>
          <w:szCs w:val="24"/>
        </w:rPr>
        <w:t>Идентификатор</w:t>
      </w:r>
      <w:r w:rsidRPr="00684C59">
        <w:rPr>
          <w:rFonts w:cs="Arial"/>
          <w:sz w:val="24"/>
          <w:szCs w:val="24"/>
        </w:rPr>
        <w:t xml:space="preserve"> Участника клиринга: _______________________,</w:t>
      </w:r>
    </w:p>
    <w:p w:rsidR="000C255E" w:rsidRPr="000C255E" w:rsidRDefault="000C255E" w:rsidP="00EC628A">
      <w:pPr>
        <w:widowControl w:val="0"/>
        <w:tabs>
          <w:tab w:val="right" w:pos="9356"/>
        </w:tabs>
        <w:overflowPunct/>
        <w:spacing w:after="120"/>
        <w:jc w:val="both"/>
        <w:rPr>
          <w:rFonts w:cs="Arial"/>
          <w:sz w:val="24"/>
          <w:szCs w:val="24"/>
        </w:rPr>
      </w:pPr>
      <w:r>
        <w:rPr>
          <w:rFonts w:cs="Arial"/>
          <w:sz w:val="24"/>
          <w:szCs w:val="24"/>
          <w:lang w:val="en-US"/>
        </w:rPr>
        <w:t>Clearing</w:t>
      </w:r>
      <w:r w:rsidRPr="000C255E">
        <w:rPr>
          <w:rFonts w:cs="Arial"/>
          <w:sz w:val="24"/>
          <w:szCs w:val="24"/>
        </w:rPr>
        <w:t xml:space="preserve"> </w:t>
      </w:r>
      <w:r>
        <w:rPr>
          <w:rFonts w:cs="Arial"/>
          <w:sz w:val="24"/>
          <w:szCs w:val="24"/>
          <w:lang w:val="en-US"/>
        </w:rPr>
        <w:t>Member</w:t>
      </w:r>
      <w:r w:rsidRPr="000C255E">
        <w:rPr>
          <w:rFonts w:cs="Arial"/>
          <w:sz w:val="24"/>
          <w:szCs w:val="24"/>
        </w:rPr>
        <w:t xml:space="preserve"> </w:t>
      </w:r>
      <w:r>
        <w:rPr>
          <w:rFonts w:cs="Arial"/>
          <w:sz w:val="24"/>
          <w:szCs w:val="24"/>
          <w:lang w:val="en-US"/>
        </w:rPr>
        <w:t>Identifier</w:t>
      </w:r>
      <w:r w:rsidRPr="000C255E">
        <w:rPr>
          <w:rFonts w:cs="Arial"/>
          <w:sz w:val="24"/>
          <w:szCs w:val="24"/>
        </w:rPr>
        <w:t>:</w:t>
      </w:r>
    </w:p>
    <w:p w:rsidR="00EC628A" w:rsidRDefault="00EC628A" w:rsidP="00EC628A">
      <w:pPr>
        <w:pStyle w:val="a6"/>
        <w:spacing w:after="120"/>
        <w:ind w:firstLine="0"/>
        <w:rPr>
          <w:b w:val="0"/>
        </w:rPr>
      </w:pPr>
      <w:r w:rsidRPr="00F238A1">
        <w:rPr>
          <w:b w:val="0"/>
        </w:rPr>
        <w:t xml:space="preserve">В соответствии с Правилами клиринга </w:t>
      </w:r>
      <w:r w:rsidRPr="00BC4AAC">
        <w:rPr>
          <w:b w:val="0"/>
        </w:rPr>
        <w:t>Небанковской кредитной организации-центрального контрагента</w:t>
      </w:r>
      <w:r w:rsidRPr="00F238A1">
        <w:rPr>
          <w:b w:val="0"/>
        </w:rPr>
        <w:t xml:space="preserve"> «Национальный Клиринговый Центр» (Акционерное общество) просим </w:t>
      </w:r>
      <w:r>
        <w:rPr>
          <w:b w:val="0"/>
        </w:rPr>
        <w:t>открыть</w:t>
      </w:r>
      <w:r w:rsidRPr="00F238A1">
        <w:rPr>
          <w:b w:val="0"/>
        </w:rPr>
        <w:t xml:space="preserve"> нашей Организации Торгово-клиринговы</w:t>
      </w:r>
      <w:r>
        <w:rPr>
          <w:b w:val="0"/>
        </w:rPr>
        <w:t>е</w:t>
      </w:r>
      <w:r w:rsidRPr="00F238A1">
        <w:rPr>
          <w:b w:val="0"/>
        </w:rPr>
        <w:t xml:space="preserve"> счет</w:t>
      </w:r>
      <w:r>
        <w:rPr>
          <w:b w:val="0"/>
        </w:rPr>
        <w:t>а</w:t>
      </w:r>
      <w:r w:rsidRPr="00F238A1">
        <w:rPr>
          <w:b w:val="0"/>
        </w:rPr>
        <w:t xml:space="preserve"> 2-го уровня, в состав котор</w:t>
      </w:r>
      <w:r>
        <w:rPr>
          <w:b w:val="0"/>
        </w:rPr>
        <w:t>ых</w:t>
      </w:r>
      <w:r w:rsidRPr="00F238A1">
        <w:rPr>
          <w:b w:val="0"/>
        </w:rPr>
        <w:t xml:space="preserve"> буд</w:t>
      </w:r>
      <w:r>
        <w:rPr>
          <w:b w:val="0"/>
        </w:rPr>
        <w:t>у</w:t>
      </w:r>
      <w:r w:rsidRPr="00F238A1">
        <w:rPr>
          <w:b w:val="0"/>
        </w:rPr>
        <w:t>т входить Расчетны</w:t>
      </w:r>
      <w:r>
        <w:rPr>
          <w:b w:val="0"/>
        </w:rPr>
        <w:t>е</w:t>
      </w:r>
      <w:r w:rsidRPr="00F238A1">
        <w:rPr>
          <w:b w:val="0"/>
        </w:rPr>
        <w:t xml:space="preserve"> код</w:t>
      </w:r>
      <w:r>
        <w:rPr>
          <w:b w:val="0"/>
        </w:rPr>
        <w:t>ы</w:t>
      </w:r>
      <w:r w:rsidRPr="00F238A1">
        <w:rPr>
          <w:b w:val="0"/>
        </w:rPr>
        <w:t xml:space="preserve"> 2-го уровня, </w:t>
      </w:r>
      <w:r>
        <w:rPr>
          <w:b w:val="0"/>
        </w:rPr>
        <w:t>и установить соответствие Торгово-клиринговым счетам и входящим в их состав</w:t>
      </w:r>
      <w:r w:rsidRPr="00F238A1">
        <w:rPr>
          <w:b w:val="0"/>
        </w:rPr>
        <w:t xml:space="preserve"> Расчетн</w:t>
      </w:r>
      <w:r>
        <w:rPr>
          <w:b w:val="0"/>
        </w:rPr>
        <w:t>ым</w:t>
      </w:r>
      <w:r w:rsidRPr="00F238A1">
        <w:rPr>
          <w:b w:val="0"/>
        </w:rPr>
        <w:t xml:space="preserve"> код</w:t>
      </w:r>
      <w:r>
        <w:rPr>
          <w:b w:val="0"/>
        </w:rPr>
        <w:t>ам</w:t>
      </w:r>
      <w:r w:rsidRPr="00F238A1">
        <w:rPr>
          <w:b w:val="0"/>
        </w:rPr>
        <w:t xml:space="preserve"> Участника клиринга</w:t>
      </w:r>
      <w:r w:rsidRPr="0029518B">
        <w:rPr>
          <w:b w:val="0"/>
        </w:rPr>
        <w:t xml:space="preserve"> </w:t>
      </w:r>
      <w:r>
        <w:rPr>
          <w:b w:val="0"/>
        </w:rPr>
        <w:t>для:</w:t>
      </w:r>
    </w:p>
    <w:p w:rsidR="000C255E" w:rsidRPr="005F6160" w:rsidRDefault="000C255E" w:rsidP="00EC628A">
      <w:pPr>
        <w:pStyle w:val="a6"/>
        <w:spacing w:after="120"/>
        <w:ind w:firstLine="0"/>
        <w:rPr>
          <w:b w:val="0"/>
          <w:lang w:val="en-US"/>
        </w:rPr>
      </w:pPr>
      <w:r>
        <w:rPr>
          <w:b w:val="0"/>
          <w:lang w:val="en-US"/>
        </w:rPr>
        <w:t>According</w:t>
      </w:r>
      <w:r w:rsidRPr="000C255E">
        <w:rPr>
          <w:b w:val="0"/>
          <w:lang w:val="en-US"/>
        </w:rPr>
        <w:t xml:space="preserve"> </w:t>
      </w:r>
      <w:r>
        <w:rPr>
          <w:b w:val="0"/>
          <w:lang w:val="en-US"/>
        </w:rPr>
        <w:t>to</w:t>
      </w:r>
      <w:r w:rsidRPr="000C255E">
        <w:rPr>
          <w:b w:val="0"/>
          <w:lang w:val="en-US"/>
        </w:rPr>
        <w:t xml:space="preserve"> </w:t>
      </w:r>
      <w:r>
        <w:rPr>
          <w:b w:val="0"/>
          <w:lang w:val="en-US"/>
        </w:rPr>
        <w:t>the</w:t>
      </w:r>
      <w:r w:rsidRPr="000C255E">
        <w:rPr>
          <w:b w:val="0"/>
          <w:lang w:val="en-US"/>
        </w:rPr>
        <w:t xml:space="preserve"> </w:t>
      </w:r>
      <w:r>
        <w:rPr>
          <w:b w:val="0"/>
          <w:lang w:val="en-US"/>
        </w:rPr>
        <w:t>Clearing</w:t>
      </w:r>
      <w:r w:rsidRPr="000C255E">
        <w:rPr>
          <w:b w:val="0"/>
          <w:lang w:val="en-US"/>
        </w:rPr>
        <w:t xml:space="preserve"> </w:t>
      </w:r>
      <w:r>
        <w:rPr>
          <w:b w:val="0"/>
          <w:lang w:val="en-US"/>
        </w:rPr>
        <w:t>Rules of the Central Counterparty National Clearing Centre we kindly ask you to open Trade Accounts of the 2</w:t>
      </w:r>
      <w:r w:rsidRPr="000C255E">
        <w:rPr>
          <w:b w:val="0"/>
          <w:vertAlign w:val="superscript"/>
          <w:lang w:val="en-US"/>
        </w:rPr>
        <w:t>nd</w:t>
      </w:r>
      <w:r>
        <w:rPr>
          <w:b w:val="0"/>
          <w:lang w:val="en-US"/>
        </w:rPr>
        <w:t xml:space="preserve"> level, into the structure of which Settlement Accounts of the 2</w:t>
      </w:r>
      <w:r w:rsidRPr="000C255E">
        <w:rPr>
          <w:b w:val="0"/>
          <w:vertAlign w:val="superscript"/>
          <w:lang w:val="en-US"/>
        </w:rPr>
        <w:t>nd</w:t>
      </w:r>
      <w:r>
        <w:rPr>
          <w:b w:val="0"/>
          <w:lang w:val="en-US"/>
        </w:rPr>
        <w:t xml:space="preserve"> level will be included, and set correspondence between Trade Accounts and Settlement Accounts </w:t>
      </w:r>
      <w:r w:rsidR="005F6160">
        <w:rPr>
          <w:b w:val="0"/>
          <w:lang w:val="en-US"/>
        </w:rPr>
        <w:t>of the Clearing Member, which form part of such Trade Accounts, for our organization for the following:</w:t>
      </w:r>
    </w:p>
    <w:p w:rsidR="00EC628A" w:rsidRDefault="00EC628A" w:rsidP="00EC628A">
      <w:pPr>
        <w:pStyle w:val="a6"/>
        <w:spacing w:after="120"/>
        <w:ind w:firstLine="708"/>
        <w:rPr>
          <w:b w:val="0"/>
        </w:rPr>
      </w:pPr>
      <w:r w:rsidRPr="00F238A1">
        <w:rPr>
          <w:b w:val="0"/>
        </w:rPr>
        <w:t>□</w:t>
      </w:r>
      <w:r w:rsidRPr="00F238A1">
        <w:rPr>
          <w:b w:val="0"/>
        </w:rPr>
        <w:tab/>
      </w:r>
      <w:r>
        <w:rPr>
          <w:b w:val="0"/>
        </w:rPr>
        <w:t xml:space="preserve">Участника клиринга/ </w:t>
      </w:r>
      <w:r w:rsidRPr="00F238A1">
        <w:rPr>
          <w:b w:val="0"/>
        </w:rPr>
        <w:t>клиента Участника клиринга;</w:t>
      </w:r>
    </w:p>
    <w:p w:rsidR="005F6160" w:rsidRPr="005F6160" w:rsidRDefault="005F6160" w:rsidP="005F6160">
      <w:pPr>
        <w:pStyle w:val="a6"/>
        <w:spacing w:after="120"/>
        <w:ind w:left="708" w:firstLine="708"/>
        <w:rPr>
          <w:b w:val="0"/>
          <w:lang w:val="en-US"/>
        </w:rPr>
      </w:pPr>
      <w:r>
        <w:rPr>
          <w:b w:val="0"/>
          <w:lang w:val="en-US"/>
        </w:rPr>
        <w:t>Clearing Member/ client of the Market Participant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399"/>
        <w:gridCol w:w="3277"/>
        <w:gridCol w:w="2389"/>
      </w:tblGrid>
      <w:tr w:rsidR="00EC628A" w:rsidRPr="00811BDA" w:rsidTr="00F42BC5">
        <w:tc>
          <w:tcPr>
            <w:tcW w:w="2268" w:type="dxa"/>
            <w:shd w:val="clear" w:color="auto" w:fill="auto"/>
          </w:tcPr>
          <w:p w:rsidR="00EC628A" w:rsidRDefault="00EC628A" w:rsidP="00F42BC5">
            <w:pPr>
              <w:jc w:val="center"/>
              <w:rPr>
                <w:sz w:val="24"/>
                <w:szCs w:val="24"/>
              </w:rPr>
            </w:pPr>
            <w:r w:rsidRPr="00811BDA">
              <w:rPr>
                <w:sz w:val="24"/>
                <w:szCs w:val="24"/>
              </w:rPr>
              <w:t xml:space="preserve">Торгово-клиринговый счет </w:t>
            </w:r>
          </w:p>
          <w:p w:rsidR="000C255E" w:rsidRPr="00811BDA" w:rsidRDefault="000C255E" w:rsidP="000C255E">
            <w:pPr>
              <w:spacing w:before="120"/>
              <w:jc w:val="center"/>
              <w:rPr>
                <w:sz w:val="24"/>
                <w:szCs w:val="24"/>
              </w:rPr>
            </w:pPr>
            <w:r>
              <w:rPr>
                <w:sz w:val="24"/>
                <w:szCs w:val="24"/>
                <w:lang w:val="en-US"/>
              </w:rPr>
              <w:t>Trade</w:t>
            </w:r>
            <w:r w:rsidRPr="005F6160">
              <w:rPr>
                <w:sz w:val="24"/>
                <w:szCs w:val="24"/>
              </w:rPr>
              <w:t xml:space="preserve"> </w:t>
            </w:r>
            <w:r>
              <w:rPr>
                <w:sz w:val="24"/>
                <w:szCs w:val="24"/>
                <w:lang w:val="en-US"/>
              </w:rPr>
              <w:t>Account</w:t>
            </w:r>
          </w:p>
        </w:tc>
        <w:tc>
          <w:tcPr>
            <w:tcW w:w="1413" w:type="dxa"/>
            <w:shd w:val="clear" w:color="auto" w:fill="auto"/>
          </w:tcPr>
          <w:p w:rsidR="00EC628A" w:rsidRDefault="00EC628A" w:rsidP="00F42BC5">
            <w:pPr>
              <w:jc w:val="center"/>
              <w:rPr>
                <w:sz w:val="24"/>
                <w:szCs w:val="24"/>
              </w:rPr>
            </w:pPr>
            <w:r w:rsidRPr="00811BDA">
              <w:rPr>
                <w:sz w:val="24"/>
                <w:szCs w:val="24"/>
              </w:rPr>
              <w:t xml:space="preserve">Расчетный код </w:t>
            </w:r>
          </w:p>
          <w:p w:rsidR="000C255E" w:rsidRPr="00811BDA" w:rsidRDefault="000C255E" w:rsidP="000C255E">
            <w:pPr>
              <w:spacing w:before="120"/>
              <w:jc w:val="center"/>
              <w:rPr>
                <w:sz w:val="24"/>
                <w:szCs w:val="24"/>
              </w:rPr>
            </w:pPr>
            <w:r>
              <w:rPr>
                <w:sz w:val="24"/>
                <w:szCs w:val="24"/>
                <w:lang w:val="en-US"/>
              </w:rPr>
              <w:t>Settlement Account</w:t>
            </w:r>
          </w:p>
        </w:tc>
        <w:tc>
          <w:tcPr>
            <w:tcW w:w="3549" w:type="dxa"/>
          </w:tcPr>
          <w:p w:rsidR="00EC628A" w:rsidRDefault="00EC628A" w:rsidP="00F42BC5">
            <w:pPr>
              <w:jc w:val="center"/>
              <w:rPr>
                <w:rFonts w:eastAsia="Calibri"/>
                <w:sz w:val="24"/>
                <w:szCs w:val="24"/>
              </w:rPr>
            </w:pPr>
            <w:r>
              <w:rPr>
                <w:rFonts w:eastAsia="Calibri"/>
                <w:sz w:val="24"/>
                <w:szCs w:val="24"/>
              </w:rPr>
              <w:t>Количество открываемых Торгово-клиринговых счетов 2-го уровня</w:t>
            </w:r>
          </w:p>
          <w:p w:rsidR="000C255E" w:rsidRPr="000C255E" w:rsidRDefault="000C255E" w:rsidP="000C255E">
            <w:pPr>
              <w:spacing w:before="120"/>
              <w:jc w:val="center"/>
              <w:rPr>
                <w:sz w:val="24"/>
                <w:szCs w:val="24"/>
                <w:lang w:val="en-US"/>
              </w:rPr>
            </w:pPr>
            <w:r>
              <w:rPr>
                <w:rFonts w:eastAsia="Calibri"/>
                <w:sz w:val="24"/>
                <w:szCs w:val="24"/>
                <w:lang w:val="en-US"/>
              </w:rPr>
              <w:t>Number of Trade Accounts of the 2</w:t>
            </w:r>
            <w:r w:rsidRPr="000C255E">
              <w:rPr>
                <w:rFonts w:eastAsia="Calibri"/>
                <w:sz w:val="24"/>
                <w:szCs w:val="24"/>
                <w:vertAlign w:val="superscript"/>
                <w:lang w:val="en-US"/>
              </w:rPr>
              <w:t>nd</w:t>
            </w:r>
            <w:r>
              <w:rPr>
                <w:rFonts w:eastAsia="Calibri"/>
                <w:sz w:val="24"/>
                <w:szCs w:val="24"/>
                <w:lang w:val="en-US"/>
              </w:rPr>
              <w:t xml:space="preserve"> level to be opened</w:t>
            </w:r>
          </w:p>
        </w:tc>
        <w:tc>
          <w:tcPr>
            <w:tcW w:w="2233" w:type="dxa"/>
          </w:tcPr>
          <w:p w:rsidR="00EC628A" w:rsidRDefault="00EC628A" w:rsidP="00F42BC5">
            <w:pPr>
              <w:jc w:val="center"/>
              <w:rPr>
                <w:rFonts w:eastAsia="Calibri"/>
                <w:sz w:val="24"/>
                <w:szCs w:val="24"/>
              </w:rPr>
            </w:pPr>
            <w:r w:rsidRPr="00F238A1">
              <w:rPr>
                <w:rFonts w:eastAsia="Calibri"/>
                <w:sz w:val="24"/>
                <w:szCs w:val="24"/>
              </w:rPr>
              <w:t>Идентификационные данные клиента*</w:t>
            </w:r>
          </w:p>
          <w:p w:rsidR="000C255E" w:rsidRPr="000C255E" w:rsidRDefault="000C255E" w:rsidP="000C255E">
            <w:pPr>
              <w:spacing w:before="120"/>
              <w:jc w:val="center"/>
              <w:rPr>
                <w:rFonts w:eastAsia="Calibri"/>
                <w:sz w:val="24"/>
                <w:szCs w:val="24"/>
                <w:lang w:val="en-US"/>
              </w:rPr>
            </w:pPr>
            <w:r>
              <w:rPr>
                <w:rFonts w:eastAsia="Calibri"/>
                <w:sz w:val="24"/>
                <w:szCs w:val="24"/>
                <w:lang w:val="en-US"/>
              </w:rPr>
              <w:t>Client identification data</w:t>
            </w:r>
          </w:p>
        </w:tc>
      </w:tr>
      <w:tr w:rsidR="00EC628A" w:rsidRPr="00811BDA" w:rsidTr="00F42BC5">
        <w:tc>
          <w:tcPr>
            <w:tcW w:w="2268" w:type="dxa"/>
            <w:shd w:val="clear" w:color="auto" w:fill="auto"/>
          </w:tcPr>
          <w:p w:rsidR="00EC628A" w:rsidRPr="00811BDA" w:rsidRDefault="00EC628A" w:rsidP="00F42BC5">
            <w:pPr>
              <w:jc w:val="center"/>
              <w:rPr>
                <w:sz w:val="24"/>
                <w:szCs w:val="24"/>
              </w:rPr>
            </w:pPr>
          </w:p>
        </w:tc>
        <w:tc>
          <w:tcPr>
            <w:tcW w:w="1413" w:type="dxa"/>
            <w:shd w:val="clear" w:color="auto" w:fill="auto"/>
          </w:tcPr>
          <w:p w:rsidR="00EC628A" w:rsidRPr="00811BDA" w:rsidRDefault="00EC628A" w:rsidP="00F42BC5">
            <w:pPr>
              <w:jc w:val="center"/>
              <w:rPr>
                <w:sz w:val="24"/>
                <w:szCs w:val="24"/>
              </w:rPr>
            </w:pPr>
          </w:p>
        </w:tc>
        <w:tc>
          <w:tcPr>
            <w:tcW w:w="3549" w:type="dxa"/>
          </w:tcPr>
          <w:p w:rsidR="00EC628A" w:rsidRPr="00811BDA" w:rsidRDefault="00EC628A" w:rsidP="00F42BC5">
            <w:pPr>
              <w:jc w:val="center"/>
              <w:rPr>
                <w:sz w:val="24"/>
                <w:szCs w:val="24"/>
              </w:rPr>
            </w:pPr>
          </w:p>
        </w:tc>
        <w:tc>
          <w:tcPr>
            <w:tcW w:w="2233" w:type="dxa"/>
          </w:tcPr>
          <w:p w:rsidR="00EC628A" w:rsidRPr="00811BDA" w:rsidRDefault="00EC628A" w:rsidP="00F42BC5">
            <w:pPr>
              <w:jc w:val="center"/>
              <w:rPr>
                <w:sz w:val="24"/>
                <w:szCs w:val="24"/>
              </w:rPr>
            </w:pPr>
          </w:p>
        </w:tc>
      </w:tr>
      <w:tr w:rsidR="00EC628A" w:rsidRPr="00811BDA" w:rsidTr="00F42BC5">
        <w:tc>
          <w:tcPr>
            <w:tcW w:w="2268" w:type="dxa"/>
            <w:shd w:val="clear" w:color="auto" w:fill="auto"/>
          </w:tcPr>
          <w:p w:rsidR="00EC628A" w:rsidRPr="00811BDA" w:rsidRDefault="00EC628A" w:rsidP="00F42BC5">
            <w:pPr>
              <w:jc w:val="center"/>
              <w:rPr>
                <w:sz w:val="24"/>
                <w:szCs w:val="24"/>
              </w:rPr>
            </w:pPr>
          </w:p>
        </w:tc>
        <w:tc>
          <w:tcPr>
            <w:tcW w:w="1413" w:type="dxa"/>
            <w:shd w:val="clear" w:color="auto" w:fill="auto"/>
          </w:tcPr>
          <w:p w:rsidR="00EC628A" w:rsidRPr="00811BDA" w:rsidRDefault="00EC628A" w:rsidP="00F42BC5">
            <w:pPr>
              <w:jc w:val="center"/>
              <w:rPr>
                <w:sz w:val="24"/>
                <w:szCs w:val="24"/>
              </w:rPr>
            </w:pPr>
          </w:p>
        </w:tc>
        <w:tc>
          <w:tcPr>
            <w:tcW w:w="3549" w:type="dxa"/>
          </w:tcPr>
          <w:p w:rsidR="00EC628A" w:rsidRPr="00811BDA" w:rsidRDefault="00EC628A" w:rsidP="00F42BC5">
            <w:pPr>
              <w:jc w:val="center"/>
              <w:rPr>
                <w:sz w:val="24"/>
                <w:szCs w:val="24"/>
              </w:rPr>
            </w:pPr>
          </w:p>
        </w:tc>
        <w:tc>
          <w:tcPr>
            <w:tcW w:w="2233" w:type="dxa"/>
          </w:tcPr>
          <w:p w:rsidR="00EC628A" w:rsidRPr="00811BDA" w:rsidRDefault="00EC628A" w:rsidP="00F42BC5">
            <w:pPr>
              <w:jc w:val="center"/>
              <w:rPr>
                <w:sz w:val="24"/>
                <w:szCs w:val="24"/>
              </w:rPr>
            </w:pPr>
          </w:p>
        </w:tc>
      </w:tr>
    </w:tbl>
    <w:p w:rsidR="00EC628A" w:rsidRDefault="00EC628A" w:rsidP="00EC628A">
      <w:pPr>
        <w:spacing w:before="120" w:after="120" w:line="276" w:lineRule="auto"/>
        <w:ind w:left="1406" w:hanging="839"/>
        <w:jc w:val="both"/>
        <w:rPr>
          <w:sz w:val="24"/>
          <w:szCs w:val="24"/>
        </w:rPr>
      </w:pPr>
      <w:r w:rsidRPr="00954A78">
        <w:rPr>
          <w:sz w:val="24"/>
          <w:szCs w:val="24"/>
        </w:rPr>
        <w:t>□</w:t>
      </w:r>
      <w:r w:rsidRPr="00954A78">
        <w:rPr>
          <w:sz w:val="24"/>
          <w:szCs w:val="24"/>
        </w:rPr>
        <w:tab/>
        <w:t>Участник</w:t>
      </w:r>
      <w:r>
        <w:rPr>
          <w:sz w:val="24"/>
          <w:szCs w:val="24"/>
        </w:rPr>
        <w:t>а</w:t>
      </w:r>
      <w:r w:rsidRPr="00954A78">
        <w:rPr>
          <w:sz w:val="24"/>
          <w:szCs w:val="24"/>
        </w:rPr>
        <w:t xml:space="preserve"> торгов</w:t>
      </w:r>
    </w:p>
    <w:p w:rsidR="005F6160" w:rsidRPr="005F6160" w:rsidRDefault="005F6160" w:rsidP="00EC628A">
      <w:pPr>
        <w:spacing w:before="120" w:after="120" w:line="276" w:lineRule="auto"/>
        <w:ind w:left="1406" w:hanging="839"/>
        <w:jc w:val="both"/>
        <w:rPr>
          <w:sz w:val="24"/>
          <w:szCs w:val="24"/>
          <w:lang w:val="en-US"/>
        </w:rPr>
      </w:pPr>
      <w:r>
        <w:rPr>
          <w:sz w:val="24"/>
          <w:szCs w:val="24"/>
        </w:rPr>
        <w:tab/>
      </w:r>
      <w:r>
        <w:rPr>
          <w:sz w:val="24"/>
          <w:szCs w:val="24"/>
          <w:lang w:val="en-US"/>
        </w:rPr>
        <w:t>Market Participant</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313"/>
        <w:gridCol w:w="2778"/>
        <w:gridCol w:w="1840"/>
        <w:gridCol w:w="1725"/>
      </w:tblGrid>
      <w:tr w:rsidR="00EC628A" w:rsidRPr="000C255E" w:rsidTr="00F42BC5">
        <w:tc>
          <w:tcPr>
            <w:tcW w:w="1581" w:type="dxa"/>
          </w:tcPr>
          <w:p w:rsidR="000C255E" w:rsidRDefault="00EC628A" w:rsidP="00F42BC5">
            <w:pPr>
              <w:jc w:val="center"/>
              <w:rPr>
                <w:sz w:val="24"/>
                <w:szCs w:val="24"/>
              </w:rPr>
            </w:pPr>
            <w:r w:rsidRPr="00811BDA">
              <w:rPr>
                <w:sz w:val="24"/>
                <w:szCs w:val="24"/>
              </w:rPr>
              <w:t>Торгово-клиринговый счет</w:t>
            </w:r>
          </w:p>
          <w:p w:rsidR="00EC628A" w:rsidRDefault="000C255E" w:rsidP="000C255E">
            <w:pPr>
              <w:spacing w:before="120"/>
              <w:jc w:val="center"/>
              <w:rPr>
                <w:rFonts w:eastAsia="Calibri"/>
                <w:sz w:val="24"/>
                <w:szCs w:val="24"/>
              </w:rPr>
            </w:pPr>
            <w:r w:rsidRPr="000C255E">
              <w:rPr>
                <w:rFonts w:eastAsia="Calibri"/>
                <w:sz w:val="24"/>
                <w:szCs w:val="24"/>
                <w:lang w:val="en-US"/>
              </w:rPr>
              <w:t>Trade</w:t>
            </w:r>
            <w:r w:rsidRPr="005F6160">
              <w:rPr>
                <w:sz w:val="24"/>
                <w:szCs w:val="24"/>
              </w:rPr>
              <w:t xml:space="preserve"> </w:t>
            </w:r>
            <w:r>
              <w:rPr>
                <w:sz w:val="24"/>
                <w:szCs w:val="24"/>
                <w:lang w:val="en-US"/>
              </w:rPr>
              <w:t>Account</w:t>
            </w:r>
            <w:r w:rsidR="00EC628A" w:rsidRPr="00811BDA">
              <w:rPr>
                <w:sz w:val="24"/>
                <w:szCs w:val="24"/>
              </w:rPr>
              <w:t xml:space="preserve"> </w:t>
            </w:r>
          </w:p>
        </w:tc>
        <w:tc>
          <w:tcPr>
            <w:tcW w:w="1113" w:type="dxa"/>
          </w:tcPr>
          <w:p w:rsidR="00EC628A" w:rsidRDefault="00EC628A" w:rsidP="00F42BC5">
            <w:pPr>
              <w:jc w:val="center"/>
              <w:rPr>
                <w:sz w:val="24"/>
                <w:szCs w:val="24"/>
              </w:rPr>
            </w:pPr>
            <w:r w:rsidRPr="00811BDA">
              <w:rPr>
                <w:sz w:val="24"/>
                <w:szCs w:val="24"/>
              </w:rPr>
              <w:t xml:space="preserve">Расчетный код </w:t>
            </w:r>
          </w:p>
          <w:p w:rsidR="000C255E" w:rsidRPr="000C255E" w:rsidRDefault="000C255E" w:rsidP="000C255E">
            <w:pPr>
              <w:spacing w:before="120"/>
              <w:jc w:val="center"/>
              <w:rPr>
                <w:rFonts w:eastAsia="Calibri"/>
                <w:sz w:val="24"/>
                <w:szCs w:val="24"/>
                <w:lang w:val="en-US"/>
              </w:rPr>
            </w:pPr>
            <w:r w:rsidRPr="000C255E">
              <w:rPr>
                <w:rFonts w:eastAsia="Calibri"/>
                <w:sz w:val="24"/>
                <w:szCs w:val="24"/>
                <w:lang w:val="en-US"/>
              </w:rPr>
              <w:t>Settlement</w:t>
            </w:r>
            <w:r>
              <w:rPr>
                <w:sz w:val="24"/>
                <w:szCs w:val="24"/>
                <w:lang w:val="en-US"/>
              </w:rPr>
              <w:t xml:space="preserve"> Account</w:t>
            </w:r>
          </w:p>
        </w:tc>
        <w:tc>
          <w:tcPr>
            <w:tcW w:w="3197" w:type="dxa"/>
          </w:tcPr>
          <w:p w:rsidR="00EC628A" w:rsidRDefault="00EC628A" w:rsidP="00F42BC5">
            <w:pPr>
              <w:jc w:val="center"/>
              <w:rPr>
                <w:rFonts w:eastAsia="Calibri"/>
                <w:sz w:val="24"/>
                <w:szCs w:val="24"/>
              </w:rPr>
            </w:pPr>
            <w:r>
              <w:rPr>
                <w:rFonts w:eastAsia="Calibri"/>
                <w:sz w:val="24"/>
                <w:szCs w:val="24"/>
              </w:rPr>
              <w:t>Количество открываемых Торгово-клиринговых счетов 2-го уровня</w:t>
            </w:r>
          </w:p>
          <w:p w:rsidR="000C255E" w:rsidRPr="000C255E" w:rsidRDefault="000C255E" w:rsidP="000C255E">
            <w:pPr>
              <w:spacing w:before="120"/>
              <w:jc w:val="center"/>
              <w:rPr>
                <w:rFonts w:eastAsia="Calibri"/>
                <w:sz w:val="24"/>
                <w:szCs w:val="24"/>
                <w:lang w:val="en-US"/>
              </w:rPr>
            </w:pPr>
            <w:r>
              <w:rPr>
                <w:rFonts w:eastAsia="Calibri"/>
                <w:sz w:val="24"/>
                <w:szCs w:val="24"/>
                <w:lang w:val="en-US"/>
              </w:rPr>
              <w:t>Number of Trade Accounts of the 2</w:t>
            </w:r>
            <w:r w:rsidRPr="000C255E">
              <w:rPr>
                <w:rFonts w:eastAsia="Calibri"/>
                <w:sz w:val="24"/>
                <w:szCs w:val="24"/>
                <w:vertAlign w:val="superscript"/>
                <w:lang w:val="en-US"/>
              </w:rPr>
              <w:t>nd</w:t>
            </w:r>
            <w:r>
              <w:rPr>
                <w:rFonts w:eastAsia="Calibri"/>
                <w:sz w:val="24"/>
                <w:szCs w:val="24"/>
                <w:lang w:val="en-US"/>
              </w:rPr>
              <w:t xml:space="preserve"> level to be opened</w:t>
            </w:r>
          </w:p>
        </w:tc>
        <w:tc>
          <w:tcPr>
            <w:tcW w:w="1843" w:type="dxa"/>
            <w:shd w:val="clear" w:color="auto" w:fill="auto"/>
          </w:tcPr>
          <w:p w:rsidR="00EC628A" w:rsidRDefault="00EC628A" w:rsidP="00F42BC5">
            <w:pPr>
              <w:jc w:val="center"/>
              <w:rPr>
                <w:sz w:val="24"/>
                <w:szCs w:val="24"/>
              </w:rPr>
            </w:pPr>
            <w:r>
              <w:rPr>
                <w:rFonts w:eastAsia="Calibri"/>
                <w:sz w:val="24"/>
                <w:szCs w:val="24"/>
              </w:rPr>
              <w:t>И</w:t>
            </w:r>
            <w:r w:rsidRPr="00F238A1">
              <w:rPr>
                <w:rFonts w:eastAsia="Calibri"/>
                <w:sz w:val="24"/>
                <w:szCs w:val="24"/>
              </w:rPr>
              <w:t xml:space="preserve">дентификатор </w:t>
            </w:r>
            <w:r w:rsidRPr="00F238A1">
              <w:rPr>
                <w:sz w:val="24"/>
                <w:szCs w:val="24"/>
              </w:rPr>
              <w:t>Участника торгов</w:t>
            </w:r>
          </w:p>
          <w:p w:rsidR="000C255E" w:rsidRPr="000C255E" w:rsidRDefault="000C255E" w:rsidP="000C255E">
            <w:pPr>
              <w:spacing w:before="120"/>
              <w:jc w:val="center"/>
              <w:rPr>
                <w:rFonts w:eastAsia="Calibri"/>
                <w:sz w:val="24"/>
                <w:szCs w:val="24"/>
                <w:lang w:val="en-US"/>
              </w:rPr>
            </w:pPr>
            <w:r w:rsidRPr="000C255E">
              <w:rPr>
                <w:rFonts w:eastAsia="Calibri"/>
                <w:sz w:val="24"/>
                <w:szCs w:val="24"/>
                <w:lang w:val="en-US"/>
              </w:rPr>
              <w:t>Identifier</w:t>
            </w:r>
            <w:r>
              <w:rPr>
                <w:sz w:val="24"/>
                <w:szCs w:val="24"/>
                <w:lang w:val="en-US"/>
              </w:rPr>
              <w:t xml:space="preserve"> of the Market Participant</w:t>
            </w:r>
          </w:p>
        </w:tc>
        <w:tc>
          <w:tcPr>
            <w:tcW w:w="1729" w:type="dxa"/>
            <w:shd w:val="clear" w:color="auto" w:fill="auto"/>
          </w:tcPr>
          <w:p w:rsidR="00EC628A" w:rsidRDefault="00EC628A" w:rsidP="00F42BC5">
            <w:pPr>
              <w:jc w:val="center"/>
              <w:rPr>
                <w:rFonts w:eastAsia="Calibri"/>
                <w:sz w:val="24"/>
                <w:szCs w:val="24"/>
              </w:rPr>
            </w:pPr>
            <w:r w:rsidRPr="00F238A1">
              <w:rPr>
                <w:rFonts w:eastAsia="Calibri"/>
                <w:sz w:val="24"/>
                <w:szCs w:val="24"/>
              </w:rPr>
              <w:t>Наименование Участника торгов</w:t>
            </w:r>
          </w:p>
          <w:p w:rsidR="000C255E" w:rsidRPr="000C255E" w:rsidRDefault="000C255E" w:rsidP="000C255E">
            <w:pPr>
              <w:spacing w:before="120"/>
              <w:jc w:val="center"/>
              <w:rPr>
                <w:rFonts w:eastAsia="Calibri"/>
                <w:sz w:val="24"/>
                <w:szCs w:val="24"/>
                <w:lang w:val="en-US"/>
              </w:rPr>
            </w:pPr>
            <w:r>
              <w:rPr>
                <w:rFonts w:eastAsia="Calibri"/>
                <w:sz w:val="24"/>
                <w:szCs w:val="24"/>
                <w:lang w:val="en-US"/>
              </w:rPr>
              <w:t>Name of the Market Participant</w:t>
            </w:r>
          </w:p>
        </w:tc>
      </w:tr>
      <w:tr w:rsidR="00EC628A" w:rsidRPr="000C255E" w:rsidTr="00F42BC5">
        <w:tc>
          <w:tcPr>
            <w:tcW w:w="1581" w:type="dxa"/>
          </w:tcPr>
          <w:p w:rsidR="00EC628A" w:rsidRPr="000C255E" w:rsidRDefault="00EC628A" w:rsidP="00F42BC5">
            <w:pPr>
              <w:rPr>
                <w:sz w:val="24"/>
                <w:szCs w:val="24"/>
                <w:lang w:val="en-US"/>
              </w:rPr>
            </w:pPr>
          </w:p>
        </w:tc>
        <w:tc>
          <w:tcPr>
            <w:tcW w:w="1113" w:type="dxa"/>
          </w:tcPr>
          <w:p w:rsidR="00EC628A" w:rsidRPr="000C255E" w:rsidRDefault="00EC628A" w:rsidP="00F42BC5">
            <w:pPr>
              <w:rPr>
                <w:sz w:val="24"/>
                <w:szCs w:val="24"/>
                <w:lang w:val="en-US"/>
              </w:rPr>
            </w:pPr>
          </w:p>
        </w:tc>
        <w:tc>
          <w:tcPr>
            <w:tcW w:w="3197" w:type="dxa"/>
          </w:tcPr>
          <w:p w:rsidR="00EC628A" w:rsidRPr="000C255E" w:rsidRDefault="00EC628A" w:rsidP="00F42BC5">
            <w:pPr>
              <w:rPr>
                <w:sz w:val="24"/>
                <w:szCs w:val="24"/>
                <w:lang w:val="en-US"/>
              </w:rPr>
            </w:pPr>
          </w:p>
        </w:tc>
        <w:tc>
          <w:tcPr>
            <w:tcW w:w="1843" w:type="dxa"/>
            <w:shd w:val="clear" w:color="auto" w:fill="auto"/>
          </w:tcPr>
          <w:p w:rsidR="00EC628A" w:rsidRPr="000C255E" w:rsidRDefault="00EC628A" w:rsidP="00F42BC5">
            <w:pPr>
              <w:rPr>
                <w:sz w:val="24"/>
                <w:szCs w:val="24"/>
                <w:lang w:val="en-US"/>
              </w:rPr>
            </w:pPr>
          </w:p>
        </w:tc>
        <w:tc>
          <w:tcPr>
            <w:tcW w:w="1729" w:type="dxa"/>
            <w:shd w:val="clear" w:color="auto" w:fill="auto"/>
          </w:tcPr>
          <w:p w:rsidR="00EC628A" w:rsidRPr="000C255E" w:rsidRDefault="00EC628A" w:rsidP="00F42BC5">
            <w:pPr>
              <w:rPr>
                <w:rFonts w:eastAsia="Calibri"/>
                <w:sz w:val="24"/>
                <w:szCs w:val="24"/>
                <w:lang w:val="en-US"/>
              </w:rPr>
            </w:pPr>
          </w:p>
        </w:tc>
      </w:tr>
      <w:tr w:rsidR="00EC628A" w:rsidRPr="000C255E" w:rsidTr="00F42BC5">
        <w:tc>
          <w:tcPr>
            <w:tcW w:w="1581" w:type="dxa"/>
          </w:tcPr>
          <w:p w:rsidR="00EC628A" w:rsidRPr="000C255E" w:rsidRDefault="00EC628A" w:rsidP="00F42BC5">
            <w:pPr>
              <w:rPr>
                <w:sz w:val="24"/>
                <w:szCs w:val="24"/>
                <w:lang w:val="en-US"/>
              </w:rPr>
            </w:pPr>
          </w:p>
        </w:tc>
        <w:tc>
          <w:tcPr>
            <w:tcW w:w="1113" w:type="dxa"/>
          </w:tcPr>
          <w:p w:rsidR="00EC628A" w:rsidRPr="000C255E" w:rsidRDefault="00EC628A" w:rsidP="00F42BC5">
            <w:pPr>
              <w:rPr>
                <w:sz w:val="24"/>
                <w:szCs w:val="24"/>
                <w:lang w:val="en-US"/>
              </w:rPr>
            </w:pPr>
          </w:p>
        </w:tc>
        <w:tc>
          <w:tcPr>
            <w:tcW w:w="3197" w:type="dxa"/>
          </w:tcPr>
          <w:p w:rsidR="00EC628A" w:rsidRPr="000C255E" w:rsidRDefault="00EC628A" w:rsidP="00F42BC5">
            <w:pPr>
              <w:rPr>
                <w:sz w:val="24"/>
                <w:szCs w:val="24"/>
                <w:lang w:val="en-US"/>
              </w:rPr>
            </w:pPr>
          </w:p>
        </w:tc>
        <w:tc>
          <w:tcPr>
            <w:tcW w:w="1843" w:type="dxa"/>
            <w:shd w:val="clear" w:color="auto" w:fill="auto"/>
          </w:tcPr>
          <w:p w:rsidR="00EC628A" w:rsidRPr="000C255E" w:rsidRDefault="00EC628A" w:rsidP="00F42BC5">
            <w:pPr>
              <w:rPr>
                <w:sz w:val="24"/>
                <w:szCs w:val="24"/>
                <w:lang w:val="en-US"/>
              </w:rPr>
            </w:pPr>
          </w:p>
        </w:tc>
        <w:tc>
          <w:tcPr>
            <w:tcW w:w="1729" w:type="dxa"/>
            <w:shd w:val="clear" w:color="auto" w:fill="auto"/>
          </w:tcPr>
          <w:p w:rsidR="00EC628A" w:rsidRPr="000C255E" w:rsidRDefault="00EC628A" w:rsidP="00F42BC5">
            <w:pPr>
              <w:rPr>
                <w:rFonts w:eastAsia="Calibri"/>
                <w:sz w:val="24"/>
                <w:szCs w:val="24"/>
                <w:lang w:val="en-US"/>
              </w:rPr>
            </w:pPr>
          </w:p>
        </w:tc>
      </w:tr>
    </w:tbl>
    <w:p w:rsidR="00EC628A" w:rsidRPr="000C255E" w:rsidRDefault="00EC628A" w:rsidP="00EC628A">
      <w:pPr>
        <w:pStyle w:val="ab"/>
        <w:spacing w:line="240" w:lineRule="auto"/>
        <w:ind w:left="0" w:firstLine="0"/>
        <w:rPr>
          <w:rFonts w:ascii="Times New Roman" w:hAnsi="Times New Roman"/>
          <w:i/>
          <w:noProof w:val="0"/>
          <w:lang w:val="en-US"/>
        </w:rPr>
      </w:pPr>
    </w:p>
    <w:p w:rsidR="00EC628A" w:rsidRPr="000C255E" w:rsidRDefault="00EC628A" w:rsidP="00EC628A">
      <w:pPr>
        <w:pStyle w:val="ab"/>
        <w:spacing w:line="240" w:lineRule="auto"/>
        <w:ind w:left="0" w:firstLine="0"/>
        <w:rPr>
          <w:rFonts w:ascii="Times New Roman" w:hAnsi="Times New Roman"/>
          <w:i/>
          <w:noProof w:val="0"/>
          <w:lang w:val="en-US"/>
        </w:rPr>
      </w:pPr>
    </w:p>
    <w:p w:rsidR="00EC628A" w:rsidRPr="000C255E" w:rsidRDefault="00EC628A" w:rsidP="00EC628A">
      <w:pPr>
        <w:pStyle w:val="ab"/>
        <w:spacing w:line="240" w:lineRule="auto"/>
        <w:ind w:left="0" w:firstLine="0"/>
        <w:rPr>
          <w:rFonts w:ascii="Times New Roman" w:hAnsi="Times New Roman"/>
          <w:i/>
          <w:noProof w:val="0"/>
          <w:lang w:val="en-US"/>
        </w:rPr>
      </w:pPr>
    </w:p>
    <w:p w:rsidR="00EC628A" w:rsidRPr="00CE4CAD" w:rsidRDefault="00EC628A" w:rsidP="00EC628A">
      <w:pPr>
        <w:pStyle w:val="ab"/>
        <w:spacing w:line="240" w:lineRule="auto"/>
        <w:ind w:left="0" w:firstLine="0"/>
        <w:rPr>
          <w:rFonts w:ascii="Times New Roman" w:hAnsi="Times New Roman"/>
          <w:i/>
          <w:noProof w:val="0"/>
        </w:rPr>
      </w:pPr>
      <w:r w:rsidRPr="00F238A1">
        <w:rPr>
          <w:rFonts w:ascii="Times New Roman" w:hAnsi="Times New Roman"/>
          <w:i/>
          <w:noProof w:val="0"/>
        </w:rPr>
        <w:t>(Должность руководителя)</w:t>
      </w:r>
      <w:r>
        <w:rPr>
          <w:rFonts w:ascii="Times New Roman" w:hAnsi="Times New Roman"/>
          <w:i/>
          <w:noProof w:val="0"/>
        </w:rPr>
        <w:tab/>
      </w:r>
      <w:r w:rsidRPr="00CE4CAD">
        <w:rPr>
          <w:rFonts w:ascii="Times New Roman" w:hAnsi="Times New Roman"/>
          <w:i/>
          <w:noProof w:val="0"/>
        </w:rPr>
        <w:t>__________________ / Ф.И.О. /</w:t>
      </w:r>
    </w:p>
    <w:p w:rsidR="00EC628A" w:rsidRPr="000C255E" w:rsidRDefault="000C255E" w:rsidP="000C255E">
      <w:pPr>
        <w:pStyle w:val="ab"/>
        <w:tabs>
          <w:tab w:val="left" w:pos="8520"/>
        </w:tabs>
        <w:spacing w:line="240" w:lineRule="auto"/>
        <w:ind w:left="0" w:firstLine="0"/>
        <w:rPr>
          <w:rFonts w:ascii="Times New Roman" w:hAnsi="Times New Roman"/>
          <w:i/>
          <w:noProof w:val="0"/>
          <w:lang w:val="en-US"/>
        </w:rPr>
      </w:pPr>
      <w:r w:rsidRPr="000C255E">
        <w:rPr>
          <w:rFonts w:ascii="Times New Roman" w:hAnsi="Times New Roman"/>
          <w:i/>
          <w:noProof w:val="0"/>
        </w:rPr>
        <w:t>(Position of the Head)</w:t>
      </w:r>
      <w:r w:rsidRPr="000C255E">
        <w:rPr>
          <w:rFonts w:ascii="Times New Roman" w:hAnsi="Times New Roman"/>
          <w:noProof w:val="0"/>
          <w:sz w:val="16"/>
          <w:szCs w:val="16"/>
          <w:lang w:val="en-US"/>
        </w:rPr>
        <w:tab/>
      </w:r>
      <w:r w:rsidRPr="000C255E">
        <w:rPr>
          <w:rFonts w:ascii="Times New Roman" w:hAnsi="Times New Roman"/>
          <w:i/>
          <w:noProof w:val="0"/>
          <w:lang w:val="en-US"/>
        </w:rPr>
        <w:t>Name</w:t>
      </w:r>
    </w:p>
    <w:p w:rsidR="00EC628A" w:rsidRPr="00954A78" w:rsidRDefault="00EC628A" w:rsidP="00EC628A">
      <w:pPr>
        <w:pStyle w:val="ab"/>
        <w:spacing w:line="240" w:lineRule="auto"/>
        <w:ind w:left="0" w:firstLine="0"/>
        <w:rPr>
          <w:rFonts w:ascii="Times New Roman" w:hAnsi="Times New Roman"/>
          <w:noProof w:val="0"/>
        </w:rPr>
      </w:pPr>
      <w:r w:rsidRPr="000C255E">
        <w:rPr>
          <w:rFonts w:ascii="Times New Roman" w:hAnsi="Times New Roman"/>
          <w:noProof w:val="0"/>
          <w:lang w:val="en-US"/>
        </w:rPr>
        <w:t xml:space="preserve">                                                                             </w:t>
      </w:r>
      <w:r w:rsidRPr="00954A78">
        <w:rPr>
          <w:rFonts w:ascii="Times New Roman" w:hAnsi="Times New Roman"/>
          <w:noProof w:val="0"/>
        </w:rPr>
        <w:t>м.п.</w:t>
      </w:r>
    </w:p>
    <w:p w:rsidR="00EC628A" w:rsidRPr="000C255E" w:rsidRDefault="00EC628A" w:rsidP="000C255E">
      <w:pPr>
        <w:tabs>
          <w:tab w:val="center" w:pos="4677"/>
        </w:tabs>
      </w:pPr>
      <w:r w:rsidRPr="00954A78">
        <w:t>«____» ___________ 20___год.</w:t>
      </w:r>
      <w:r w:rsidR="000C255E">
        <w:tab/>
      </w:r>
      <w:r w:rsidR="000C255E" w:rsidRPr="000C255E">
        <w:t xml:space="preserve">    </w:t>
      </w:r>
      <w:r w:rsidR="000C255E">
        <w:rPr>
          <w:lang w:val="en-US"/>
        </w:rPr>
        <w:t>seal</w:t>
      </w:r>
    </w:p>
    <w:p w:rsidR="00EC628A" w:rsidRPr="00F238A1" w:rsidRDefault="00EC628A" w:rsidP="00EC628A">
      <w:pPr>
        <w:pStyle w:val="a6"/>
        <w:ind w:left="284" w:firstLine="0"/>
        <w:rPr>
          <w:b w:val="0"/>
          <w:sz w:val="16"/>
          <w:szCs w:val="16"/>
        </w:rPr>
      </w:pPr>
    </w:p>
    <w:p w:rsidR="00EC628A" w:rsidRDefault="00EC628A" w:rsidP="00EC628A">
      <w:pPr>
        <w:pStyle w:val="a6"/>
        <w:ind w:firstLine="0"/>
        <w:rPr>
          <w:b w:val="0"/>
          <w:sz w:val="20"/>
        </w:rPr>
      </w:pPr>
      <w:r w:rsidRPr="00F238A1">
        <w:rPr>
          <w:b w:val="0"/>
          <w:sz w:val="20"/>
        </w:rPr>
        <w:t>Исполнитель Ф.И.О., телефон _________________</w:t>
      </w:r>
    </w:p>
    <w:p w:rsidR="000C255E" w:rsidRPr="000C255E" w:rsidRDefault="000C255E" w:rsidP="00EC628A">
      <w:pPr>
        <w:pStyle w:val="a6"/>
        <w:ind w:firstLine="0"/>
        <w:rPr>
          <w:b w:val="0"/>
          <w:sz w:val="20"/>
          <w:lang w:val="en-US"/>
        </w:rPr>
      </w:pPr>
      <w:r>
        <w:rPr>
          <w:b w:val="0"/>
          <w:sz w:val="20"/>
          <w:lang w:val="en-US"/>
        </w:rPr>
        <w:t>Prepared by Name, phone number</w:t>
      </w:r>
    </w:p>
    <w:p w:rsidR="00EC628A" w:rsidRPr="000C255E" w:rsidRDefault="00EC628A" w:rsidP="00EC628A">
      <w:pPr>
        <w:pStyle w:val="ab"/>
        <w:spacing w:line="240" w:lineRule="auto"/>
        <w:ind w:left="0" w:firstLine="0"/>
        <w:jc w:val="both"/>
        <w:rPr>
          <w:noProof w:val="0"/>
          <w:sz w:val="20"/>
          <w:szCs w:val="20"/>
          <w:lang w:val="en-US"/>
        </w:rPr>
      </w:pPr>
    </w:p>
    <w:p w:rsidR="00EC628A" w:rsidRDefault="00EC628A" w:rsidP="00EC628A">
      <w:pPr>
        <w:pStyle w:val="ab"/>
        <w:spacing w:line="240" w:lineRule="auto"/>
        <w:ind w:left="0" w:firstLine="0"/>
        <w:jc w:val="both"/>
        <w:rPr>
          <w:noProof w:val="0"/>
          <w:sz w:val="20"/>
          <w:szCs w:val="20"/>
        </w:rPr>
      </w:pPr>
      <w:r w:rsidRPr="00F238A1">
        <w:rPr>
          <w:noProof w:val="0"/>
          <w:sz w:val="20"/>
          <w:szCs w:val="20"/>
        </w:rPr>
        <w:t>* Поле «Идентификационные данные клиента» не является обязательным и заполняется в соответствии с требованиями, предъявляемыми Биржей при регистрации клиентов Участников торгов. В случае регистрации клиента, являющегося клиентом брокера, указываются идентификационные данные как конечного клиента, так и клиента, являющегося брокером.</w:t>
      </w:r>
    </w:p>
    <w:p w:rsidR="000C255E" w:rsidRPr="000C255E" w:rsidRDefault="000C255E" w:rsidP="00EC628A">
      <w:pPr>
        <w:pStyle w:val="ab"/>
        <w:spacing w:line="240" w:lineRule="auto"/>
        <w:ind w:left="0" w:firstLine="0"/>
        <w:jc w:val="both"/>
        <w:rPr>
          <w:noProof w:val="0"/>
          <w:sz w:val="20"/>
          <w:szCs w:val="20"/>
          <w:lang w:val="en-US"/>
        </w:rPr>
      </w:pPr>
      <w:r>
        <w:rPr>
          <w:noProof w:val="0"/>
          <w:sz w:val="20"/>
          <w:szCs w:val="20"/>
          <w:lang w:val="en-US"/>
        </w:rPr>
        <w:t xml:space="preserve">* </w:t>
      </w:r>
      <w:r>
        <w:rPr>
          <w:noProof w:val="0"/>
          <w:sz w:val="20"/>
          <w:szCs w:val="20"/>
          <w:lang w:val="en-US"/>
        </w:rPr>
        <w:t>“Client identification data” field is not obligatory and is filled in according to the requirements of the Exchange when registering clients of Market Participants. When registering client, which is the client of the broker, identification data of both end client and broker is indicated.</w:t>
      </w:r>
    </w:p>
    <w:p w:rsidR="00364DA7" w:rsidRPr="000C255E" w:rsidRDefault="005F6160">
      <w:pPr>
        <w:rPr>
          <w:lang w:val="en-US"/>
        </w:rPr>
      </w:pPr>
    </w:p>
    <w:sectPr w:rsidR="00364DA7" w:rsidRPr="000C2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01FDE"/>
    <w:multiLevelType w:val="multilevel"/>
    <w:tmpl w:val="3D86B2DE"/>
    <w:lvl w:ilvl="0">
      <w:start w:val="1"/>
      <w:numFmt w:val="decimal"/>
      <w:pStyle w:val="a"/>
      <w:lvlText w:val="%1."/>
      <w:lvlJc w:val="left"/>
      <w:pPr>
        <w:tabs>
          <w:tab w:val="num" w:pos="709"/>
        </w:tabs>
        <w:ind w:left="709" w:hanging="709"/>
      </w:pPr>
      <w:rPr>
        <w:rFonts w:hint="default"/>
        <w:b/>
        <w:i w:val="0"/>
      </w:rPr>
    </w:lvl>
    <w:lvl w:ilvl="1">
      <w:start w:val="1"/>
      <w:numFmt w:val="decimal"/>
      <w:pStyle w:val="a0"/>
      <w:lvlText w:val="%1.%2."/>
      <w:lvlJc w:val="left"/>
      <w:pPr>
        <w:tabs>
          <w:tab w:val="num" w:pos="709"/>
        </w:tabs>
        <w:ind w:left="709" w:hanging="709"/>
      </w:pPr>
      <w:rPr>
        <w:rFonts w:hint="default"/>
        <w:b w:val="0"/>
        <w:i w:val="0"/>
      </w:rPr>
    </w:lvl>
    <w:lvl w:ilvl="2">
      <w:start w:val="1"/>
      <w:numFmt w:val="decimal"/>
      <w:pStyle w:val="a1"/>
      <w:lvlText w:val="%1.%2.%3."/>
      <w:lvlJc w:val="left"/>
      <w:pPr>
        <w:tabs>
          <w:tab w:val="num" w:pos="709"/>
        </w:tabs>
        <w:ind w:left="709" w:hanging="709"/>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8A"/>
    <w:rsid w:val="000C255E"/>
    <w:rsid w:val="005F6160"/>
    <w:rsid w:val="00C87E7C"/>
    <w:rsid w:val="00E93B1F"/>
    <w:rsid w:val="00EC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19B7"/>
  <w15:chartTrackingRefBased/>
  <w15:docId w15:val="{A79A2384-9DA3-4323-8E95-D68A4389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62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EC628A"/>
    <w:pPr>
      <w:ind w:firstLine="720"/>
      <w:jc w:val="both"/>
    </w:pPr>
    <w:rPr>
      <w:b/>
      <w:bCs/>
      <w:sz w:val="24"/>
    </w:rPr>
  </w:style>
  <w:style w:type="character" w:customStyle="1" w:styleId="a7">
    <w:name w:val="Основной текст с отступом Знак"/>
    <w:basedOn w:val="a3"/>
    <w:link w:val="a6"/>
    <w:rsid w:val="00EC628A"/>
    <w:rPr>
      <w:rFonts w:ascii="Times New Roman" w:eastAsia="Times New Roman" w:hAnsi="Times New Roman" w:cs="Times New Roman"/>
      <w:b/>
      <w:bCs/>
      <w:sz w:val="24"/>
      <w:szCs w:val="20"/>
      <w:lang w:eastAsia="ru-RU"/>
    </w:rPr>
  </w:style>
  <w:style w:type="paragraph" w:customStyle="1" w:styleId="a">
    <w:name w:val="Раздел"/>
    <w:basedOn w:val="a2"/>
    <w:qFormat/>
    <w:rsid w:val="00EC628A"/>
    <w:pPr>
      <w:keepNext/>
      <w:pageBreakBefore/>
      <w:numPr>
        <w:numId w:val="1"/>
      </w:numPr>
      <w:spacing w:before="360"/>
      <w:jc w:val="center"/>
    </w:pPr>
    <w:rPr>
      <w:b/>
      <w:sz w:val="24"/>
      <w:szCs w:val="24"/>
    </w:rPr>
  </w:style>
  <w:style w:type="paragraph" w:customStyle="1" w:styleId="a0">
    <w:name w:val="Пункт"/>
    <w:basedOn w:val="a2"/>
    <w:qFormat/>
    <w:rsid w:val="00EC628A"/>
    <w:pPr>
      <w:numPr>
        <w:ilvl w:val="1"/>
        <w:numId w:val="1"/>
      </w:numPr>
      <w:spacing w:before="240"/>
      <w:jc w:val="both"/>
    </w:pPr>
    <w:rPr>
      <w:sz w:val="24"/>
      <w:szCs w:val="24"/>
    </w:rPr>
  </w:style>
  <w:style w:type="paragraph" w:customStyle="1" w:styleId="a1">
    <w:name w:val="Подпункт"/>
    <w:basedOn w:val="a2"/>
    <w:qFormat/>
    <w:rsid w:val="00EC628A"/>
    <w:pPr>
      <w:keepNext/>
      <w:numPr>
        <w:ilvl w:val="2"/>
        <w:numId w:val="1"/>
      </w:numPr>
      <w:spacing w:before="240"/>
      <w:jc w:val="both"/>
    </w:pPr>
    <w:rPr>
      <w:b/>
      <w:bCs/>
      <w:iCs/>
      <w:sz w:val="24"/>
      <w:szCs w:val="24"/>
    </w:rPr>
  </w:style>
  <w:style w:type="paragraph" w:customStyle="1" w:styleId="a8">
    <w:name w:val="Текст_"/>
    <w:basedOn w:val="a2"/>
    <w:qFormat/>
    <w:rsid w:val="00EC628A"/>
    <w:pPr>
      <w:jc w:val="both"/>
      <w:outlineLvl w:val="2"/>
    </w:pPr>
    <w:rPr>
      <w:bCs/>
      <w:sz w:val="24"/>
      <w:szCs w:val="24"/>
    </w:rPr>
  </w:style>
  <w:style w:type="paragraph" w:customStyle="1" w:styleId="Headcenter">
    <w:name w:val="Head center"/>
    <w:basedOn w:val="a2"/>
    <w:qFormat/>
    <w:rsid w:val="00EC628A"/>
    <w:pPr>
      <w:keepLines/>
      <w:overflowPunct/>
      <w:autoSpaceDE/>
      <w:autoSpaceDN/>
      <w:adjustRightInd/>
      <w:spacing w:before="360"/>
      <w:jc w:val="center"/>
      <w:textAlignment w:val="auto"/>
    </w:pPr>
    <w:rPr>
      <w:rFonts w:cs="Arial"/>
      <w:b/>
      <w:bCs/>
      <w:sz w:val="24"/>
      <w:szCs w:val="24"/>
    </w:rPr>
  </w:style>
  <w:style w:type="paragraph" w:customStyle="1" w:styleId="a9">
    <w:name w:val="Пункт форм документов"/>
    <w:basedOn w:val="a2"/>
    <w:qFormat/>
    <w:rsid w:val="00EC628A"/>
    <w:pPr>
      <w:pageBreakBefore/>
      <w:widowControl w:val="0"/>
      <w:spacing w:before="240"/>
      <w:jc w:val="both"/>
      <w:outlineLvl w:val="0"/>
    </w:pPr>
    <w:rPr>
      <w:bCs/>
      <w:sz w:val="24"/>
    </w:rPr>
  </w:style>
  <w:style w:type="paragraph" w:customStyle="1" w:styleId="1">
    <w:name w:val="Стиль1"/>
    <w:basedOn w:val="a2"/>
    <w:link w:val="10"/>
    <w:qFormat/>
    <w:rsid w:val="00EC628A"/>
    <w:pPr>
      <w:tabs>
        <w:tab w:val="left" w:pos="851"/>
      </w:tabs>
      <w:overflowPunct/>
      <w:autoSpaceDE/>
      <w:autoSpaceDN/>
      <w:adjustRightInd/>
      <w:spacing w:before="240"/>
      <w:jc w:val="both"/>
      <w:textAlignment w:val="auto"/>
    </w:pPr>
    <w:rPr>
      <w:rFonts w:eastAsia="Calibri"/>
      <w:b/>
      <w:sz w:val="24"/>
      <w:szCs w:val="24"/>
      <w:lang w:eastAsia="en-US"/>
    </w:rPr>
  </w:style>
  <w:style w:type="character" w:customStyle="1" w:styleId="aa">
    <w:name w:val="Термин"/>
    <w:rsid w:val="00EC628A"/>
    <w:rPr>
      <w:b/>
      <w:bCs/>
    </w:rPr>
  </w:style>
  <w:style w:type="character" w:customStyle="1" w:styleId="10">
    <w:name w:val="Стиль1 Знак"/>
    <w:link w:val="1"/>
    <w:rsid w:val="00EC628A"/>
    <w:rPr>
      <w:rFonts w:ascii="Times New Roman" w:eastAsia="Calibri" w:hAnsi="Times New Roman" w:cs="Times New Roman"/>
      <w:b/>
      <w:sz w:val="24"/>
      <w:szCs w:val="24"/>
    </w:rPr>
  </w:style>
  <w:style w:type="paragraph" w:styleId="ab">
    <w:name w:val="List"/>
    <w:basedOn w:val="a2"/>
    <w:rsid w:val="00EC628A"/>
    <w:pPr>
      <w:tabs>
        <w:tab w:val="right" w:pos="9356"/>
      </w:tabs>
      <w:overflowPunct/>
      <w:autoSpaceDE/>
      <w:autoSpaceDN/>
      <w:adjustRightInd/>
      <w:spacing w:line="360" w:lineRule="atLeast"/>
      <w:ind w:left="283" w:hanging="283"/>
      <w:textAlignment w:val="auto"/>
    </w:pPr>
    <w:rPr>
      <w:rFonts w:ascii="Times New Roman CYR" w:hAnsi="Times New Roman CYR"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OfficeProPlus2019x32</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Юнусова Наиля Наилевна</dc:creator>
  <cp:keywords/>
  <dc:description/>
  <cp:lastModifiedBy>Пак Лилия Олеговна</cp:lastModifiedBy>
  <cp:revision>2</cp:revision>
  <dcterms:created xsi:type="dcterms:W3CDTF">2020-04-29T12:32:00Z</dcterms:created>
  <dcterms:modified xsi:type="dcterms:W3CDTF">2020-04-29T23:32:00Z</dcterms:modified>
</cp:coreProperties>
</file>